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4789C" w14:textId="77777777" w:rsidR="00A0457B" w:rsidRPr="00C81702" w:rsidRDefault="00214DD0" w:rsidP="00C81702">
      <w:pPr>
        <w:jc w:val="center"/>
        <w:rPr>
          <w:b/>
          <w:sz w:val="32"/>
          <w:szCs w:val="32"/>
        </w:rPr>
      </w:pPr>
      <w:r w:rsidRPr="00C81702">
        <w:rPr>
          <w:b/>
          <w:noProof/>
          <w:sz w:val="52"/>
          <w:szCs w:val="52"/>
        </w:rPr>
        <mc:AlternateContent>
          <mc:Choice Requires="wps">
            <w:drawing>
              <wp:anchor distT="0" distB="0" distL="114300" distR="114300" simplePos="0" relativeHeight="251657216" behindDoc="0" locked="0" layoutInCell="1" allowOverlap="1" wp14:anchorId="60DDAF13" wp14:editId="33925FE4">
                <wp:simplePos x="0" y="0"/>
                <wp:positionH relativeFrom="column">
                  <wp:posOffset>1028700</wp:posOffset>
                </wp:positionH>
                <wp:positionV relativeFrom="paragraph">
                  <wp:posOffset>-571500</wp:posOffset>
                </wp:positionV>
                <wp:extent cx="4000500" cy="9144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81093" w14:textId="77777777" w:rsidR="00295B70" w:rsidRPr="001146EB" w:rsidRDefault="00295B70" w:rsidP="00076E61">
                            <w:pPr>
                              <w:jc w:val="center"/>
                              <w:rPr>
                                <w:rFonts w:ascii="Arial" w:hAnsi="Arial" w:cs="Arial"/>
                                <w:b/>
                                <w:sz w:val="40"/>
                                <w:szCs w:val="40"/>
                              </w:rPr>
                            </w:pPr>
                            <w:r w:rsidRPr="001146EB">
                              <w:rPr>
                                <w:rFonts w:ascii="Arial" w:hAnsi="Arial" w:cs="Arial"/>
                                <w:b/>
                                <w:sz w:val="40"/>
                                <w:szCs w:val="40"/>
                              </w:rPr>
                              <w:t>The Writing Center</w:t>
                            </w:r>
                          </w:p>
                          <w:p w14:paraId="60F0B62F" w14:textId="77777777" w:rsidR="00295B70" w:rsidRPr="001146EB" w:rsidRDefault="00295B70" w:rsidP="00076E61">
                            <w:pPr>
                              <w:jc w:val="center"/>
                              <w:rPr>
                                <w:rFonts w:ascii="Arial" w:hAnsi="Arial" w:cs="Arial"/>
                                <w:b/>
                                <w:sz w:val="32"/>
                                <w:szCs w:val="32"/>
                              </w:rPr>
                            </w:pPr>
                            <w:r w:rsidRPr="001146EB">
                              <w:rPr>
                                <w:rFonts w:ascii="Arial" w:hAnsi="Arial" w:cs="Arial"/>
                                <w:b/>
                                <w:sz w:val="32"/>
                                <w:szCs w:val="32"/>
                              </w:rPr>
                              <w:t>Real</w:t>
                            </w:r>
                            <w:r>
                              <w:rPr>
                                <w:rFonts w:ascii="Arial" w:hAnsi="Arial" w:cs="Arial"/>
                                <w:b/>
                                <w:sz w:val="32"/>
                                <w:szCs w:val="32"/>
                              </w:rPr>
                              <w:t>Citation</w:t>
                            </w:r>
                            <w:r w:rsidRPr="001146EB">
                              <w:rPr>
                                <w:rFonts w:ascii="Arial" w:hAnsi="Arial" w:cs="Arial"/>
                                <w:b/>
                                <w:sz w:val="32"/>
                                <w:szCs w:val="32"/>
                              </w:rPr>
                              <w:t>™ Handouts</w:t>
                            </w:r>
                          </w:p>
                          <w:p w14:paraId="0D8A20AA" w14:textId="77777777" w:rsidR="00295B70" w:rsidRPr="00A77F4E" w:rsidRDefault="00295B70" w:rsidP="00076E61">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DAF13" id="_x0000_t202" coordsize="21600,21600" o:spt="202" path="m,l,21600r21600,l21600,xe">
                <v:stroke joinstyle="miter"/>
                <v:path gradientshapeok="t" o:connecttype="rect"/>
              </v:shapetype>
              <v:shape id="Text Box 10" o:spid="_x0000_s1026" type="#_x0000_t202" style="position:absolute;left:0;text-align:left;margin-left:81pt;margin-top:-45pt;width:31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" stroked="f">
                <v:path arrowok="t"/>
                <v:textbox>
                  <w:txbxContent>
                    <w:p w14:paraId="4A881093" w14:textId="77777777" w:rsidR="00295B70" w:rsidRPr="001146EB" w:rsidRDefault="00295B70" w:rsidP="00076E61">
                      <w:pPr>
                        <w:jc w:val="center"/>
                        <w:rPr>
                          <w:rFonts w:ascii="Arial" w:hAnsi="Arial" w:cs="Arial"/>
                          <w:b/>
                          <w:sz w:val="40"/>
                          <w:szCs w:val="40"/>
                        </w:rPr>
                      </w:pPr>
                      <w:r w:rsidRPr="001146EB">
                        <w:rPr>
                          <w:rFonts w:ascii="Arial" w:hAnsi="Arial" w:cs="Arial"/>
                          <w:b/>
                          <w:sz w:val="40"/>
                          <w:szCs w:val="40"/>
                        </w:rPr>
                        <w:t>The Writing Center</w:t>
                      </w:r>
                    </w:p>
                    <w:p w14:paraId="60F0B62F" w14:textId="77777777" w:rsidR="00295B70" w:rsidRPr="001146EB" w:rsidRDefault="00295B70" w:rsidP="00076E61">
                      <w:pPr>
                        <w:jc w:val="center"/>
                        <w:rPr>
                          <w:rFonts w:ascii="Arial" w:hAnsi="Arial" w:cs="Arial"/>
                          <w:b/>
                          <w:sz w:val="32"/>
                          <w:szCs w:val="32"/>
                        </w:rPr>
                      </w:pPr>
                      <w:r w:rsidRPr="001146EB">
                        <w:rPr>
                          <w:rFonts w:ascii="Arial" w:hAnsi="Arial" w:cs="Arial"/>
                          <w:b/>
                          <w:sz w:val="32"/>
                          <w:szCs w:val="32"/>
                        </w:rPr>
                        <w:t>Real</w:t>
                      </w:r>
                      <w:r>
                        <w:rPr>
                          <w:rFonts w:ascii="Arial" w:hAnsi="Arial" w:cs="Arial"/>
                          <w:b/>
                          <w:sz w:val="32"/>
                          <w:szCs w:val="32"/>
                        </w:rPr>
                        <w:t>Citation</w:t>
                      </w:r>
                      <w:r w:rsidRPr="001146EB">
                        <w:rPr>
                          <w:rFonts w:ascii="Arial" w:hAnsi="Arial" w:cs="Arial"/>
                          <w:b/>
                          <w:sz w:val="32"/>
                          <w:szCs w:val="32"/>
                        </w:rPr>
                        <w:t>™ Handouts</w:t>
                      </w:r>
                    </w:p>
                    <w:p w14:paraId="0D8A20AA" w14:textId="77777777" w:rsidR="00295B70" w:rsidRPr="00A77F4E" w:rsidRDefault="00295B70" w:rsidP="00076E61">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txbxContent>
                </v:textbox>
              </v:shape>
            </w:pict>
          </mc:Fallback>
        </mc:AlternateContent>
      </w:r>
      <w:r w:rsidRPr="00C81702">
        <w:rPr>
          <w:b/>
          <w:noProof/>
        </w:rPr>
        <w:drawing>
          <wp:anchor distT="0" distB="0" distL="114300" distR="114300" simplePos="0" relativeHeight="251656192" behindDoc="0" locked="0" layoutInCell="1" allowOverlap="1" wp14:anchorId="11758E90" wp14:editId="65EAF0E5">
            <wp:simplePos x="0" y="0"/>
            <wp:positionH relativeFrom="column">
              <wp:posOffset>5029200</wp:posOffset>
            </wp:positionH>
            <wp:positionV relativeFrom="paragraph">
              <wp:posOffset>-571500</wp:posOffset>
            </wp:positionV>
            <wp:extent cx="1151890" cy="914400"/>
            <wp:effectExtent l="0" t="0" r="0" b="0"/>
            <wp:wrapSquare wrapText="right"/>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cstate="print">
                      <a:grayscl/>
                      <a:extLst>
                        <a:ext uri="{28A0092B-C50C-407E-A947-70E740481C1C}">
                          <a14:useLocalDpi xmlns:a14="http://schemas.microsoft.com/office/drawing/2010/main" val="0"/>
                        </a:ext>
                      </a:extLst>
                    </a:blip>
                    <a:srcRect l="26117" t="24182" r="21765" b="43637"/>
                    <a:stretch>
                      <a:fillRect/>
                    </a:stretch>
                  </pic:blipFill>
                  <pic:spPr bwMode="auto">
                    <a:xfrm>
                      <a:off x="0" y="0"/>
                      <a:ext cx="11518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1702">
        <w:rPr>
          <w:b/>
          <w:noProof/>
        </w:rPr>
        <w:drawing>
          <wp:anchor distT="0" distB="0" distL="114300" distR="114300" simplePos="0" relativeHeight="251658240" behindDoc="0" locked="0" layoutInCell="1" allowOverlap="1" wp14:anchorId="01285F15" wp14:editId="04D44C99">
            <wp:simplePos x="0" y="0"/>
            <wp:positionH relativeFrom="column">
              <wp:posOffset>-342900</wp:posOffset>
            </wp:positionH>
            <wp:positionV relativeFrom="paragraph">
              <wp:posOffset>-685800</wp:posOffset>
            </wp:positionV>
            <wp:extent cx="1276350" cy="952500"/>
            <wp:effectExtent l="0" t="0" r="0" b="0"/>
            <wp:wrapSquare wrapText="right"/>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1702" w:rsidRPr="00C81702">
        <w:rPr>
          <w:b/>
          <w:sz w:val="32"/>
          <w:szCs w:val="32"/>
        </w:rPr>
        <w:t>MLA Works Cited Page</w:t>
      </w:r>
    </w:p>
    <w:p w14:paraId="3AA3DCDA" w14:textId="77777777" w:rsidR="00C81702" w:rsidRPr="00E762B7" w:rsidRDefault="00C81702" w:rsidP="00C81702">
      <w:pPr>
        <w:jc w:val="center"/>
        <w:rPr>
          <w:rFonts w:ascii="Arial" w:hAnsi="Arial" w:cs="Arial"/>
          <w:b/>
          <w:sz w:val="32"/>
          <w:szCs w:val="32"/>
        </w:rPr>
      </w:pPr>
    </w:p>
    <w:p w14:paraId="3B5C6B6A" w14:textId="77777777" w:rsidR="00E211C6" w:rsidRPr="00E211C6" w:rsidRDefault="00E211C6" w:rsidP="00E211C6">
      <w:r w:rsidRPr="00E211C6">
        <w:t xml:space="preserve">On the backside of this handout is an example of what an MLA-style works cited page typically looks like. Using standard formats for your entries enhances your credibility with academic readers, and alphabetizing your list helps fellow researchers quickly locate the sources that you refer to in the body of your text. </w:t>
      </w:r>
    </w:p>
    <w:p w14:paraId="6391A1A4" w14:textId="77777777" w:rsidR="00E211C6" w:rsidRPr="00E211C6" w:rsidRDefault="00E211C6" w:rsidP="00E211C6"/>
    <w:p w14:paraId="64F2EC23" w14:textId="77777777" w:rsidR="00E211C6" w:rsidRPr="00E211C6" w:rsidRDefault="00E211C6" w:rsidP="00E211C6">
      <w:r w:rsidRPr="00E211C6">
        <w:t>Keep in mind a few more formatting rules:</w:t>
      </w:r>
    </w:p>
    <w:p w14:paraId="5659F991" w14:textId="77777777" w:rsidR="00E211C6" w:rsidRPr="00E211C6" w:rsidRDefault="00E211C6" w:rsidP="00E211C6"/>
    <w:p w14:paraId="54C81D5F" w14:textId="77777777" w:rsidR="00E211C6" w:rsidRPr="00E211C6" w:rsidRDefault="00E211C6" w:rsidP="00E211C6">
      <w:pPr>
        <w:numPr>
          <w:ilvl w:val="0"/>
          <w:numId w:val="2"/>
        </w:numPr>
      </w:pPr>
      <w:r w:rsidRPr="00E211C6">
        <w:t xml:space="preserve">Begin your works cited page on a new page; it will be the last page of your essay. </w:t>
      </w:r>
    </w:p>
    <w:p w14:paraId="1C1B9C5B" w14:textId="77777777" w:rsidR="00E211C6" w:rsidRPr="00E211C6" w:rsidRDefault="00E211C6" w:rsidP="00E211C6">
      <w:pPr>
        <w:numPr>
          <w:ilvl w:val="0"/>
          <w:numId w:val="2"/>
        </w:numPr>
      </w:pPr>
      <w:r w:rsidRPr="00E211C6">
        <w:t xml:space="preserve">The page must have </w:t>
      </w:r>
      <w:proofErr w:type="gramStart"/>
      <w:r w:rsidRPr="00E211C6">
        <w:t>one inch</w:t>
      </w:r>
      <w:proofErr w:type="gramEnd"/>
      <w:r w:rsidRPr="00E211C6">
        <w:t xml:space="preserve"> margins on each side.</w:t>
      </w:r>
    </w:p>
    <w:p w14:paraId="6A4A168A" w14:textId="77777777" w:rsidR="00E211C6" w:rsidRPr="00E211C6" w:rsidRDefault="00E211C6" w:rsidP="00E211C6">
      <w:pPr>
        <w:numPr>
          <w:ilvl w:val="0"/>
          <w:numId w:val="2"/>
        </w:numPr>
      </w:pPr>
      <w:r w:rsidRPr="00E211C6">
        <w:t xml:space="preserve">Double space the works cited page and use hanging indents. </w:t>
      </w:r>
    </w:p>
    <w:p w14:paraId="374F90EA" w14:textId="77777777" w:rsidR="00E211C6" w:rsidRPr="00E211C6" w:rsidRDefault="00E211C6" w:rsidP="00E211C6">
      <w:pPr>
        <w:numPr>
          <w:ilvl w:val="0"/>
          <w:numId w:val="2"/>
        </w:numPr>
      </w:pPr>
      <w:r w:rsidRPr="00E211C6">
        <w:t>Alphabetize the entries based on the first segment of information in the entry. (</w:t>
      </w:r>
      <w:proofErr w:type="gramStart"/>
      <w:r w:rsidRPr="00E211C6">
        <w:t>i.e.</w:t>
      </w:r>
      <w:proofErr w:type="gramEnd"/>
      <w:r w:rsidRPr="00E211C6">
        <w:t xml:space="preserve"> If you don’t have the author’s name, begin the entry with the work’s title) </w:t>
      </w:r>
    </w:p>
    <w:p w14:paraId="02772040" w14:textId="77777777" w:rsidR="00E211C6" w:rsidRPr="00E211C6" w:rsidRDefault="00E211C6" w:rsidP="009C2AF3">
      <w:pPr>
        <w:numPr>
          <w:ilvl w:val="0"/>
          <w:numId w:val="2"/>
        </w:numPr>
      </w:pPr>
      <w:r w:rsidRPr="00E211C6">
        <w:t xml:space="preserve">All titles that would have previously been underlined are now italicized. No titles are underlined in the newest edition of MLA. </w:t>
      </w:r>
    </w:p>
    <w:p w14:paraId="2F1CF66A" w14:textId="77777777" w:rsidR="00E211C6" w:rsidRPr="00E211C6" w:rsidRDefault="009C2AF3" w:rsidP="00E211C6">
      <w:pPr>
        <w:numPr>
          <w:ilvl w:val="0"/>
          <w:numId w:val="2"/>
        </w:numPr>
      </w:pPr>
      <w:r>
        <w:t>Please see the 8</w:t>
      </w:r>
      <w:r w:rsidR="00E211C6" w:rsidRPr="00E211C6">
        <w:rPr>
          <w:vertAlign w:val="superscript"/>
        </w:rPr>
        <w:t>th</w:t>
      </w:r>
      <w:r w:rsidR="00E211C6" w:rsidRPr="00E211C6">
        <w:t xml:space="preserve"> Edition MLA Rule Changes handout for more detailed explanations of changes to MLA. </w:t>
      </w:r>
    </w:p>
    <w:p w14:paraId="05261F13" w14:textId="77777777" w:rsidR="00E211C6" w:rsidRPr="00E211C6" w:rsidRDefault="00E211C6" w:rsidP="00E211C6"/>
    <w:p w14:paraId="2282C8DD" w14:textId="77777777" w:rsidR="00E211C6" w:rsidRPr="00E211C6" w:rsidRDefault="00214DD0" w:rsidP="00E211C6">
      <w:r w:rsidRPr="00E211C6">
        <w:rPr>
          <w:noProof/>
        </w:rPr>
        <mc:AlternateContent>
          <mc:Choice Requires="wps">
            <w:drawing>
              <wp:anchor distT="0" distB="0" distL="114300" distR="114300" simplePos="0" relativeHeight="251659264" behindDoc="0" locked="0" layoutInCell="1" allowOverlap="1" wp14:anchorId="5F8B4440" wp14:editId="7CC63933">
                <wp:simplePos x="0" y="0"/>
                <wp:positionH relativeFrom="column">
                  <wp:posOffset>0</wp:posOffset>
                </wp:positionH>
                <wp:positionV relativeFrom="paragraph">
                  <wp:posOffset>0</wp:posOffset>
                </wp:positionV>
                <wp:extent cx="5953125" cy="451485"/>
                <wp:effectExtent l="0" t="0" r="3810" b="6350"/>
                <wp:wrapSquare wrapText="bothSides"/>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53125" cy="451485"/>
                        </a:xfrm>
                        <a:prstGeom prst="rect">
                          <a:avLst/>
                        </a:prstGeom>
                        <a:solidFill>
                          <a:srgbClr val="FFFFFF"/>
                        </a:solidFill>
                        <a:ln w="9525">
                          <a:solidFill>
                            <a:srgbClr val="000000"/>
                          </a:solidFill>
                          <a:prstDash val="lgDash"/>
                          <a:miter lim="800000"/>
                          <a:headEnd/>
                          <a:tailEnd/>
                        </a:ln>
                      </wps:spPr>
                      <wps:txbx>
                        <w:txbxContent>
                          <w:p w14:paraId="1D1FCF32" w14:textId="77777777" w:rsidR="00295B70" w:rsidRPr="00E211C6" w:rsidRDefault="00295B70" w:rsidP="00E211C6">
                            <w:r w:rsidRPr="00E211C6">
                              <w:t>T</w:t>
                            </w:r>
                            <w:r w:rsidR="00766F5C">
                              <w:t>o look into specific MLA citation questions, go to The MLA Style Center at style.mla.org</w:t>
                            </w:r>
                            <w:r w:rsidRPr="00E211C6">
                              <w:t>.</w:t>
                            </w:r>
                            <w:r w:rsidR="0049210B">
                              <w:t xml:space="preserve"> O</w:t>
                            </w:r>
                            <w:r w:rsidR="00766F5C">
                              <w:t>r google the Purdue OWL: MLA Formatting and Style Guide</w:t>
                            </w:r>
                            <w:r w:rsidRPr="00E211C6">
                              <w:t xml:space="preserve"> </w:t>
                            </w:r>
                            <w:r w:rsidR="00766F5C">
                              <w:t>for more information.</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8B4440" id="Text Box 12" o:spid="_x0000_s1027" type="#_x0000_t202" style="position:absolute;margin-left:0;margin-top:0;width:468.75pt;height:35.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">
                <v:stroke dashstyle="longDash"/>
                <v:path arrowok="t"/>
                <v:textbox style="mso-fit-shape-to-text:t">
                  <w:txbxContent>
                    <w:p w14:paraId="1D1FCF32" w14:textId="77777777" w:rsidR="00295B70" w:rsidRPr="00E211C6" w:rsidRDefault="00295B70" w:rsidP="00E211C6">
                      <w:r w:rsidRPr="00E211C6">
                        <w:t>T</w:t>
                      </w:r>
                      <w:r w:rsidR="00766F5C">
                        <w:t>o look into specific MLA citation questions, go to The MLA Style Center at style.mla.org</w:t>
                      </w:r>
                      <w:r w:rsidRPr="00E211C6">
                        <w:t>.</w:t>
                      </w:r>
                      <w:r w:rsidR="0049210B">
                        <w:t xml:space="preserve"> O</w:t>
                      </w:r>
                      <w:r w:rsidR="00766F5C">
                        <w:t>r google the Purdue OWL: MLA Formatting and Style Guide</w:t>
                      </w:r>
                      <w:r w:rsidRPr="00E211C6">
                        <w:t xml:space="preserve"> </w:t>
                      </w:r>
                      <w:r w:rsidR="00766F5C">
                        <w:t>for more information.</w:t>
                      </w:r>
                    </w:p>
                  </w:txbxContent>
                </v:textbox>
                <w10:wrap type="square"/>
              </v:shape>
            </w:pict>
          </mc:Fallback>
        </mc:AlternateContent>
      </w:r>
    </w:p>
    <w:p w14:paraId="0E60792A" w14:textId="77777777" w:rsidR="00E211C6" w:rsidRDefault="00E211C6" w:rsidP="00E211C6">
      <w:pPr>
        <w:rPr>
          <w:b/>
          <w:sz w:val="32"/>
          <w:szCs w:val="32"/>
        </w:rPr>
      </w:pPr>
      <w:r w:rsidRPr="00E211C6">
        <w:rPr>
          <w:b/>
          <w:sz w:val="32"/>
          <w:szCs w:val="32"/>
        </w:rPr>
        <w:t>P</w:t>
      </w:r>
      <w:r w:rsidR="00FB7115">
        <w:rPr>
          <w:b/>
          <w:sz w:val="32"/>
          <w:szCs w:val="32"/>
        </w:rPr>
        <w:t xml:space="preserve">lease note that the </w:t>
      </w:r>
      <w:r w:rsidR="00DD7FD1">
        <w:rPr>
          <w:b/>
          <w:sz w:val="32"/>
          <w:szCs w:val="32"/>
        </w:rPr>
        <w:t>information in brackets</w:t>
      </w:r>
      <w:r w:rsidRPr="00E211C6">
        <w:rPr>
          <w:b/>
          <w:sz w:val="32"/>
          <w:szCs w:val="32"/>
        </w:rPr>
        <w:t xml:space="preserve"> on the following page </w:t>
      </w:r>
      <w:r w:rsidRPr="001F3197">
        <w:rPr>
          <w:b/>
          <w:i/>
          <w:sz w:val="32"/>
          <w:szCs w:val="32"/>
        </w:rPr>
        <w:t>IS NOT PART OF THE CITATIO</w:t>
      </w:r>
      <w:r w:rsidR="00DD7FD1" w:rsidRPr="001F3197">
        <w:rPr>
          <w:b/>
          <w:i/>
          <w:sz w:val="32"/>
          <w:szCs w:val="32"/>
        </w:rPr>
        <w:t>N!</w:t>
      </w:r>
      <w:r w:rsidR="00DD7FD1">
        <w:rPr>
          <w:b/>
          <w:sz w:val="32"/>
          <w:szCs w:val="32"/>
        </w:rPr>
        <w:t xml:space="preserve"> We have listed in brackets</w:t>
      </w:r>
      <w:r w:rsidRPr="00E211C6">
        <w:rPr>
          <w:b/>
          <w:sz w:val="32"/>
          <w:szCs w:val="32"/>
        </w:rPr>
        <w:t xml:space="preserve"> the type of source; you will not need to do this when you create your works cited page. </w:t>
      </w:r>
    </w:p>
    <w:p w14:paraId="2615008C" w14:textId="77777777" w:rsidR="00B70E91" w:rsidRDefault="00B70E91" w:rsidP="00E211C6">
      <w:pPr>
        <w:rPr>
          <w:b/>
          <w:sz w:val="32"/>
          <w:szCs w:val="32"/>
        </w:rPr>
      </w:pPr>
    </w:p>
    <w:p w14:paraId="0EC2CEDB" w14:textId="77777777" w:rsidR="00B70E91" w:rsidRPr="00E211C6" w:rsidRDefault="00B70E91" w:rsidP="00E211C6">
      <w:pPr>
        <w:rPr>
          <w:b/>
          <w:sz w:val="32"/>
          <w:szCs w:val="32"/>
        </w:rPr>
      </w:pPr>
      <w:r>
        <w:rPr>
          <w:b/>
          <w:sz w:val="32"/>
          <w:szCs w:val="32"/>
        </w:rPr>
        <w:t>A note about URLs: MLA recommends using the URL for online sources. However, if your instructor prefers that you not use it, follow his or her</w:t>
      </w:r>
      <w:r w:rsidR="00216D18">
        <w:rPr>
          <w:b/>
          <w:sz w:val="32"/>
          <w:szCs w:val="32"/>
        </w:rPr>
        <w:t xml:space="preserve"> instructions. If a stable URL (</w:t>
      </w:r>
      <w:r>
        <w:rPr>
          <w:b/>
          <w:sz w:val="32"/>
          <w:szCs w:val="32"/>
        </w:rPr>
        <w:t>sometimes called a permalink</w:t>
      </w:r>
      <w:r w:rsidR="00216D18">
        <w:rPr>
          <w:b/>
          <w:sz w:val="32"/>
          <w:szCs w:val="32"/>
        </w:rPr>
        <w:t>)</w:t>
      </w:r>
      <w:r>
        <w:rPr>
          <w:b/>
          <w:sz w:val="32"/>
          <w:szCs w:val="32"/>
        </w:rPr>
        <w:t xml:space="preserve"> is available, use that. Some publishers assign a digital object identifier (DOI) to their publications.  When possible, citing a DOI is preferable to citing a URL.</w:t>
      </w:r>
    </w:p>
    <w:p w14:paraId="628672C9" w14:textId="77777777" w:rsidR="00E211C6" w:rsidRDefault="00E211C6" w:rsidP="00E211C6">
      <w:pPr>
        <w:rPr>
          <w:rFonts w:ascii="Lucida Sans" w:hAnsi="Lucida Sans"/>
        </w:rPr>
      </w:pPr>
    </w:p>
    <w:p w14:paraId="5AEE70F2" w14:textId="77777777" w:rsidR="004C63D0" w:rsidRDefault="004C63D0" w:rsidP="00E211C6">
      <w:pPr>
        <w:rPr>
          <w:rFonts w:ascii="Lucida Sans" w:hAnsi="Lucida Sans"/>
        </w:rPr>
      </w:pPr>
    </w:p>
    <w:p w14:paraId="086FCB49" w14:textId="77777777" w:rsidR="004C63D0" w:rsidRDefault="004C63D0" w:rsidP="00E211C6">
      <w:pPr>
        <w:rPr>
          <w:rFonts w:ascii="Lucida Sans" w:hAnsi="Lucida Sans"/>
        </w:rPr>
      </w:pPr>
    </w:p>
    <w:p w14:paraId="43D65B0E" w14:textId="77777777" w:rsidR="004C63D0" w:rsidRDefault="004C63D0" w:rsidP="00E211C6">
      <w:pPr>
        <w:rPr>
          <w:rFonts w:ascii="Lucida Sans" w:hAnsi="Lucida Sans"/>
        </w:rPr>
      </w:pPr>
    </w:p>
    <w:p w14:paraId="116FF005" w14:textId="77777777" w:rsidR="00B70E91" w:rsidRDefault="00B70E91" w:rsidP="00B70E91">
      <w:pPr>
        <w:spacing w:line="480" w:lineRule="auto"/>
        <w:contextualSpacing/>
        <w:rPr>
          <w:rFonts w:ascii="Lucida Sans" w:hAnsi="Lucida Sans"/>
        </w:rPr>
      </w:pPr>
    </w:p>
    <w:p w14:paraId="0E57B1AF" w14:textId="77777777" w:rsidR="004C63D0" w:rsidRDefault="005C2069" w:rsidP="00DB172F">
      <w:pPr>
        <w:spacing w:line="480" w:lineRule="auto"/>
        <w:contextualSpacing/>
        <w:jc w:val="center"/>
      </w:pPr>
      <w:r>
        <w:lastRenderedPageBreak/>
        <w:t>Works Cited</w:t>
      </w:r>
    </w:p>
    <w:p w14:paraId="55482D16" w14:textId="77777777" w:rsidR="00D55552" w:rsidRDefault="00FB7115" w:rsidP="00D55552">
      <w:pPr>
        <w:pStyle w:val="NoSpacing"/>
        <w:spacing w:line="480" w:lineRule="auto"/>
        <w:contextualSpacing/>
        <w:rPr>
          <w:rFonts w:ascii="Times New Roman" w:hAnsi="Times New Roman"/>
          <w:sz w:val="20"/>
          <w:szCs w:val="20"/>
        </w:rPr>
      </w:pPr>
      <w:r w:rsidRPr="0047453A">
        <w:rPr>
          <w:rFonts w:ascii="Times New Roman" w:hAnsi="Times New Roman"/>
          <w:i/>
          <w:sz w:val="24"/>
          <w:szCs w:val="24"/>
        </w:rPr>
        <w:t>The Bible</w:t>
      </w:r>
      <w:r>
        <w:rPr>
          <w:rFonts w:ascii="Times New Roman" w:hAnsi="Times New Roman"/>
          <w:sz w:val="24"/>
          <w:szCs w:val="24"/>
        </w:rPr>
        <w:t>. Authorized King James Version, Oxford UP, 1998</w:t>
      </w:r>
      <w:r w:rsidR="00DD7FD1">
        <w:rPr>
          <w:rFonts w:ascii="Times New Roman" w:hAnsi="Times New Roman"/>
          <w:sz w:val="20"/>
          <w:szCs w:val="20"/>
        </w:rPr>
        <w:t>. [</w:t>
      </w:r>
      <w:r w:rsidRPr="006446FD">
        <w:rPr>
          <w:rFonts w:ascii="Times New Roman" w:hAnsi="Times New Roman"/>
          <w:sz w:val="20"/>
          <w:szCs w:val="20"/>
        </w:rPr>
        <w:t xml:space="preserve">Noting a version of a work released in </w:t>
      </w:r>
    </w:p>
    <w:p w14:paraId="4CF68CC4" w14:textId="77777777" w:rsidR="00FB7115" w:rsidRPr="004C63D0" w:rsidRDefault="00942647" w:rsidP="00D55552">
      <w:pPr>
        <w:pStyle w:val="NoSpacing"/>
        <w:spacing w:line="480" w:lineRule="auto"/>
        <w:ind w:firstLine="720"/>
        <w:contextualSpacing/>
        <w:rPr>
          <w:rFonts w:ascii="Times New Roman" w:hAnsi="Times New Roman"/>
          <w:sz w:val="20"/>
          <w:szCs w:val="20"/>
        </w:rPr>
      </w:pPr>
      <w:r>
        <w:rPr>
          <w:rFonts w:ascii="Times New Roman" w:hAnsi="Times New Roman"/>
          <w:sz w:val="20"/>
          <w:szCs w:val="20"/>
        </w:rPr>
        <w:t>more than one form</w:t>
      </w:r>
      <w:r w:rsidR="00DD7FD1">
        <w:rPr>
          <w:rFonts w:ascii="Times New Roman" w:hAnsi="Times New Roman"/>
          <w:sz w:val="20"/>
          <w:szCs w:val="20"/>
        </w:rPr>
        <w:t>]</w:t>
      </w:r>
    </w:p>
    <w:p w14:paraId="29832AFF" w14:textId="77777777" w:rsidR="00D55552" w:rsidRDefault="00FB7115" w:rsidP="00D55552">
      <w:pPr>
        <w:spacing w:line="480" w:lineRule="auto"/>
        <w:contextualSpacing/>
        <w:rPr>
          <w:i/>
        </w:rPr>
      </w:pPr>
      <w:r>
        <w:t xml:space="preserve">Gikandi, Simon. </w:t>
      </w:r>
      <w:r>
        <w:rPr>
          <w:i/>
        </w:rPr>
        <w:t>Ngugi wa Thiong’o.</w:t>
      </w:r>
      <w:r>
        <w:t xml:space="preserve"> Cambridge UP, 2000. </w:t>
      </w:r>
      <w:r>
        <w:rPr>
          <w:i/>
        </w:rPr>
        <w:t xml:space="preserve">ACLS Humanities E-book, </w:t>
      </w:r>
    </w:p>
    <w:p w14:paraId="281552C7" w14:textId="77777777" w:rsidR="00FB7115" w:rsidRPr="005C2069" w:rsidRDefault="00FB7115" w:rsidP="00D55552">
      <w:pPr>
        <w:spacing w:line="480" w:lineRule="auto"/>
        <w:ind w:firstLine="720"/>
        <w:contextualSpacing/>
      </w:pPr>
      <w:r>
        <w:t>hdl.handle.net/2027/heb.07588.0001.001.</w:t>
      </w:r>
      <w:r w:rsidRPr="005C2069">
        <w:rPr>
          <w:b/>
        </w:rPr>
        <w:t xml:space="preserve"> </w:t>
      </w:r>
      <w:r w:rsidR="00DD7FD1">
        <w:rPr>
          <w:sz w:val="20"/>
          <w:szCs w:val="20"/>
        </w:rPr>
        <w:t>[</w:t>
      </w:r>
      <w:r w:rsidR="00942647">
        <w:rPr>
          <w:sz w:val="20"/>
          <w:szCs w:val="20"/>
        </w:rPr>
        <w:t>E-Book</w:t>
      </w:r>
      <w:r w:rsidR="00DD7FD1">
        <w:rPr>
          <w:sz w:val="20"/>
          <w:szCs w:val="20"/>
        </w:rPr>
        <w:t>]</w:t>
      </w:r>
    </w:p>
    <w:p w14:paraId="55156379" w14:textId="77777777" w:rsidR="00D55552" w:rsidRDefault="00FB7115" w:rsidP="00D55552">
      <w:pPr>
        <w:spacing w:line="480" w:lineRule="auto"/>
        <w:contextualSpacing/>
      </w:pPr>
      <w:r w:rsidRPr="000E4BE2">
        <w:t>Gladwell, Malcolm, narrator. “The Lady Vanishes.” </w:t>
      </w:r>
      <w:r w:rsidRPr="000E4BE2">
        <w:rPr>
          <w:i/>
          <w:iCs/>
        </w:rPr>
        <w:t>Revisionist History</w:t>
      </w:r>
      <w:r w:rsidRPr="000E4BE2">
        <w:t xml:space="preserve">, season 1, episode 1, </w:t>
      </w:r>
    </w:p>
    <w:p w14:paraId="3096083A" w14:textId="77777777" w:rsidR="00FB7115" w:rsidRPr="00942647" w:rsidRDefault="00FB7115" w:rsidP="00942647">
      <w:pPr>
        <w:spacing w:line="480" w:lineRule="auto"/>
        <w:ind w:firstLine="720"/>
        <w:contextualSpacing/>
        <w:rPr>
          <w:sz w:val="20"/>
          <w:szCs w:val="20"/>
        </w:rPr>
      </w:pPr>
      <w:r w:rsidRPr="000E4BE2">
        <w:t>Slate Group, 2016, revisionisthistory.com/seasons?selected=</w:t>
      </w:r>
      <w:proofErr w:type="gramStart"/>
      <w:r w:rsidRPr="000E4BE2">
        <w:t>season-1</w:t>
      </w:r>
      <w:proofErr w:type="gramEnd"/>
      <w:r w:rsidRPr="000E4BE2">
        <w:t>.</w:t>
      </w:r>
      <w:r>
        <w:t xml:space="preserve"> </w:t>
      </w:r>
      <w:r w:rsidR="00DD7FD1">
        <w:rPr>
          <w:sz w:val="20"/>
          <w:szCs w:val="20"/>
        </w:rPr>
        <w:t>[</w:t>
      </w:r>
      <w:r w:rsidR="00942647">
        <w:rPr>
          <w:sz w:val="20"/>
          <w:szCs w:val="20"/>
        </w:rPr>
        <w:t>Podcast]</w:t>
      </w:r>
    </w:p>
    <w:p w14:paraId="06C668CC" w14:textId="77777777" w:rsidR="00D55552" w:rsidRDefault="00FB7115" w:rsidP="00D55552">
      <w:pPr>
        <w:spacing w:line="480" w:lineRule="auto"/>
        <w:contextualSpacing/>
        <w:rPr>
          <w:i/>
        </w:rPr>
      </w:pPr>
      <w:r>
        <w:t xml:space="preserve">Goldman, Anne. “Questions of Transport: Reading Primo Levi Reading Dante.” </w:t>
      </w:r>
      <w:r>
        <w:rPr>
          <w:i/>
        </w:rPr>
        <w:t xml:space="preserve">The Georgia </w:t>
      </w:r>
    </w:p>
    <w:p w14:paraId="04AF17C8" w14:textId="77777777" w:rsidR="00FB7115" w:rsidRPr="004C63D0" w:rsidRDefault="00FB7115" w:rsidP="00D55552">
      <w:pPr>
        <w:spacing w:line="480" w:lineRule="auto"/>
        <w:ind w:left="720"/>
        <w:contextualSpacing/>
        <w:rPr>
          <w:b/>
        </w:rPr>
      </w:pPr>
      <w:r>
        <w:rPr>
          <w:i/>
        </w:rPr>
        <w:t>Review</w:t>
      </w:r>
      <w:r>
        <w:t xml:space="preserve">, vol. 64, no. 1, 2010, pp. 69-88. JSTOR, </w:t>
      </w:r>
      <w:hyperlink r:id="rId11" w:history="1">
        <w:r w:rsidRPr="009E26C5">
          <w:rPr>
            <w:rStyle w:val="Hyperlink"/>
          </w:rPr>
          <w:t>www.jstor.org/stable/4103188</w:t>
        </w:r>
      </w:hyperlink>
      <w:r w:rsidRPr="009E26C5">
        <w:t>.</w:t>
      </w:r>
      <w:r w:rsidR="00DD7FD1">
        <w:t xml:space="preserve"> [</w:t>
      </w:r>
      <w:r w:rsidR="00942647">
        <w:rPr>
          <w:sz w:val="20"/>
          <w:szCs w:val="20"/>
        </w:rPr>
        <w:t>Data base]</w:t>
      </w:r>
    </w:p>
    <w:p w14:paraId="4C2FF393" w14:textId="77777777" w:rsidR="00D55552" w:rsidRDefault="00FB7115" w:rsidP="00D55552">
      <w:pPr>
        <w:spacing w:line="480" w:lineRule="auto"/>
        <w:contextualSpacing/>
        <w:rPr>
          <w:i/>
        </w:rPr>
      </w:pPr>
      <w:r>
        <w:t xml:space="preserve">Hollmichel, Stefanie. “The Reading Brain: Differences between Digital and Print.” </w:t>
      </w:r>
      <w:r>
        <w:rPr>
          <w:i/>
        </w:rPr>
        <w:t xml:space="preserve">So Many </w:t>
      </w:r>
    </w:p>
    <w:p w14:paraId="66A036C7" w14:textId="77777777" w:rsidR="00D55552" w:rsidRDefault="00FB7115" w:rsidP="00D55552">
      <w:pPr>
        <w:spacing w:line="480" w:lineRule="auto"/>
        <w:ind w:firstLine="720"/>
        <w:contextualSpacing/>
      </w:pPr>
      <w:r>
        <w:rPr>
          <w:i/>
        </w:rPr>
        <w:t>Books</w:t>
      </w:r>
      <w:r>
        <w:t>, 25 Apr. 2013, somanybooksblog.com/2013/04/25/the-readin</w:t>
      </w:r>
      <w:r w:rsidR="005820F6">
        <w:t>g-brain-differences-</w:t>
      </w:r>
    </w:p>
    <w:p w14:paraId="2B624B1C" w14:textId="77777777" w:rsidR="00FB7115" w:rsidRPr="00D55552" w:rsidRDefault="005820F6" w:rsidP="00D55552">
      <w:pPr>
        <w:spacing w:line="480" w:lineRule="auto"/>
        <w:ind w:firstLine="720"/>
        <w:contextualSpacing/>
        <w:rPr>
          <w:i/>
        </w:rPr>
      </w:pPr>
      <w:r>
        <w:t>be</w:t>
      </w:r>
      <w:r w:rsidR="00FB7115">
        <w:t>tween-digital-and-print</w:t>
      </w:r>
      <w:r w:rsidR="00FB7115" w:rsidRPr="006446FD">
        <w:t>/.</w:t>
      </w:r>
      <w:r w:rsidR="00FB7115" w:rsidRPr="006446FD">
        <w:rPr>
          <w:b/>
        </w:rPr>
        <w:t xml:space="preserve"> </w:t>
      </w:r>
      <w:r w:rsidR="00DD7FD1">
        <w:rPr>
          <w:b/>
          <w:sz w:val="20"/>
          <w:szCs w:val="20"/>
        </w:rPr>
        <w:t>[</w:t>
      </w:r>
      <w:r w:rsidR="00942647">
        <w:rPr>
          <w:sz w:val="20"/>
          <w:szCs w:val="20"/>
        </w:rPr>
        <w:t>Website</w:t>
      </w:r>
      <w:r w:rsidR="00DD7FD1">
        <w:rPr>
          <w:sz w:val="20"/>
          <w:szCs w:val="20"/>
        </w:rPr>
        <w:t>]</w:t>
      </w:r>
    </w:p>
    <w:p w14:paraId="74E82A57" w14:textId="77777777" w:rsidR="00875001" w:rsidRDefault="00875001" w:rsidP="00D55552">
      <w:pPr>
        <w:spacing w:line="480" w:lineRule="auto"/>
        <w:contextualSpacing/>
      </w:pPr>
      <w:r>
        <w:t xml:space="preserve">Jacob, Alan. </w:t>
      </w:r>
      <w:r>
        <w:rPr>
          <w:i/>
        </w:rPr>
        <w:t>The Pleasures of Reading in an Age of Distraction</w:t>
      </w:r>
      <w:r>
        <w:t>. Oxford UP, 2011.</w:t>
      </w:r>
      <w:r w:rsidR="004C63D0">
        <w:t xml:space="preserve"> </w:t>
      </w:r>
      <w:r w:rsidR="00DD7FD1">
        <w:t>[</w:t>
      </w:r>
      <w:r w:rsidR="00FB7115">
        <w:rPr>
          <w:sz w:val="20"/>
          <w:szCs w:val="20"/>
        </w:rPr>
        <w:t>Book citation</w:t>
      </w:r>
      <w:r w:rsidR="00DD7FD1">
        <w:t>]</w:t>
      </w:r>
    </w:p>
    <w:p w14:paraId="09AD3C27" w14:textId="77777777" w:rsidR="00FF0021" w:rsidRDefault="00FF0021" w:rsidP="00FF0021">
      <w:pPr>
        <w:spacing w:line="480" w:lineRule="auto"/>
        <w:contextualSpacing/>
        <w:rPr>
          <w:rStyle w:val="CommentReference"/>
          <w:sz w:val="24"/>
          <w:szCs w:val="24"/>
          <w:shd w:val="pct12" w:color="auto" w:fill="auto"/>
        </w:rPr>
      </w:pPr>
      <w:r w:rsidRPr="004609FE">
        <w:rPr>
          <w:rStyle w:val="CommentReference"/>
          <w:sz w:val="24"/>
          <w:szCs w:val="24"/>
        </w:rPr>
        <w:t>Lucas, George</w:t>
      </w:r>
      <w:r>
        <w:rPr>
          <w:rStyle w:val="CommentReference"/>
          <w:sz w:val="24"/>
          <w:szCs w:val="24"/>
        </w:rPr>
        <w:t xml:space="preserve">, director.  </w:t>
      </w:r>
      <w:r w:rsidRPr="00501F69">
        <w:rPr>
          <w:rStyle w:val="CommentReference"/>
          <w:i/>
          <w:sz w:val="24"/>
          <w:szCs w:val="24"/>
        </w:rPr>
        <w:t>Star Wars: A New Hope</w:t>
      </w:r>
      <w:r>
        <w:rPr>
          <w:rStyle w:val="CommentReference"/>
          <w:sz w:val="24"/>
          <w:szCs w:val="24"/>
        </w:rPr>
        <w:t xml:space="preserve">. </w:t>
      </w:r>
      <w:r w:rsidRPr="00501F69">
        <w:rPr>
          <w:rStyle w:val="CommentReference"/>
          <w:sz w:val="24"/>
          <w:szCs w:val="24"/>
        </w:rPr>
        <w:t xml:space="preserve"> </w:t>
      </w:r>
      <w:r>
        <w:rPr>
          <w:rStyle w:val="CommentReference"/>
          <w:sz w:val="24"/>
          <w:szCs w:val="24"/>
        </w:rPr>
        <w:t>Twentieth</w:t>
      </w:r>
      <w:r w:rsidRPr="00501F69">
        <w:rPr>
          <w:rStyle w:val="CommentReference"/>
          <w:sz w:val="24"/>
          <w:szCs w:val="24"/>
        </w:rPr>
        <w:t xml:space="preserve"> Century Fox, </w:t>
      </w:r>
      <w:r>
        <w:rPr>
          <w:rStyle w:val="CommentReference"/>
          <w:sz w:val="24"/>
          <w:szCs w:val="24"/>
        </w:rPr>
        <w:t>1977</w:t>
      </w:r>
      <w:r w:rsidRPr="00501F69">
        <w:rPr>
          <w:rStyle w:val="CommentReference"/>
          <w:sz w:val="24"/>
          <w:szCs w:val="24"/>
        </w:rPr>
        <w:t xml:space="preserve">. </w:t>
      </w:r>
      <w:r>
        <w:rPr>
          <w:rStyle w:val="CommentReference"/>
          <w:sz w:val="24"/>
          <w:szCs w:val="24"/>
        </w:rPr>
        <w:t>[</w:t>
      </w:r>
      <w:r>
        <w:rPr>
          <w:rStyle w:val="CommentReference"/>
          <w:sz w:val="20"/>
          <w:szCs w:val="20"/>
        </w:rPr>
        <w:t>Film</w:t>
      </w:r>
      <w:r>
        <w:rPr>
          <w:rStyle w:val="CommentReference"/>
          <w:sz w:val="24"/>
          <w:szCs w:val="24"/>
        </w:rPr>
        <w:t>]</w:t>
      </w:r>
    </w:p>
    <w:p w14:paraId="55E9510D" w14:textId="77777777" w:rsidR="00D55552" w:rsidRDefault="00875001" w:rsidP="00D55552">
      <w:pPr>
        <w:pStyle w:val="NoSpacing"/>
        <w:spacing w:line="480" w:lineRule="auto"/>
        <w:contextualSpacing/>
        <w:rPr>
          <w:rFonts w:ascii="Times New Roman" w:hAnsi="Times New Roman"/>
          <w:sz w:val="24"/>
          <w:szCs w:val="24"/>
        </w:rPr>
      </w:pPr>
      <w:r>
        <w:rPr>
          <w:rFonts w:ascii="Times New Roman" w:hAnsi="Times New Roman"/>
          <w:sz w:val="24"/>
          <w:szCs w:val="24"/>
        </w:rPr>
        <w:t xml:space="preserve">New York Daily News. “10 Killed in Shooting at Texas High School.” </w:t>
      </w:r>
      <w:r>
        <w:rPr>
          <w:rFonts w:ascii="Times New Roman" w:hAnsi="Times New Roman"/>
          <w:i/>
          <w:sz w:val="24"/>
          <w:szCs w:val="24"/>
        </w:rPr>
        <w:t>YouTube.</w:t>
      </w:r>
      <w:r>
        <w:rPr>
          <w:rFonts w:ascii="Times New Roman" w:hAnsi="Times New Roman"/>
          <w:sz w:val="24"/>
          <w:szCs w:val="24"/>
        </w:rPr>
        <w:t xml:space="preserve"> 18 May 2018</w:t>
      </w:r>
      <w:r w:rsidR="00FB7115">
        <w:rPr>
          <w:rFonts w:ascii="Times New Roman" w:hAnsi="Times New Roman"/>
          <w:sz w:val="24"/>
          <w:szCs w:val="24"/>
        </w:rPr>
        <w:t>.</w:t>
      </w:r>
      <w:r>
        <w:rPr>
          <w:rFonts w:ascii="Times New Roman" w:hAnsi="Times New Roman"/>
          <w:sz w:val="24"/>
          <w:szCs w:val="24"/>
        </w:rPr>
        <w:t xml:space="preserve"> </w:t>
      </w:r>
    </w:p>
    <w:p w14:paraId="72D731FE" w14:textId="77777777" w:rsidR="00875001" w:rsidRPr="004609FE" w:rsidRDefault="00DD7FD1" w:rsidP="00D55552">
      <w:pPr>
        <w:pStyle w:val="NoSpacing"/>
        <w:spacing w:line="480" w:lineRule="auto"/>
        <w:ind w:firstLine="720"/>
        <w:contextualSpacing/>
        <w:rPr>
          <w:rFonts w:ascii="Times New Roman" w:hAnsi="Times New Roman"/>
          <w:sz w:val="24"/>
          <w:szCs w:val="24"/>
        </w:rPr>
      </w:pPr>
      <w:r>
        <w:rPr>
          <w:rFonts w:ascii="Times New Roman" w:hAnsi="Times New Roman"/>
          <w:sz w:val="24"/>
          <w:szCs w:val="24"/>
        </w:rPr>
        <w:t>[</w:t>
      </w:r>
      <w:r w:rsidR="00942647">
        <w:rPr>
          <w:rFonts w:ascii="Times New Roman" w:hAnsi="Times New Roman"/>
          <w:sz w:val="20"/>
          <w:szCs w:val="20"/>
        </w:rPr>
        <w:t>YouTube Video</w:t>
      </w:r>
      <w:r>
        <w:rPr>
          <w:rFonts w:ascii="Times New Roman" w:hAnsi="Times New Roman"/>
          <w:sz w:val="24"/>
          <w:szCs w:val="24"/>
        </w:rPr>
        <w:t>]</w:t>
      </w:r>
    </w:p>
    <w:p w14:paraId="44A5C80C" w14:textId="77777777" w:rsidR="00D55552" w:rsidRDefault="00875001" w:rsidP="00D55552">
      <w:pPr>
        <w:spacing w:line="480" w:lineRule="auto"/>
        <w:contextualSpacing/>
      </w:pPr>
      <w:r>
        <w:t xml:space="preserve">Poe, Edgar Allen. “The Masque of the Red Death.” </w:t>
      </w:r>
      <w:r>
        <w:rPr>
          <w:i/>
        </w:rPr>
        <w:t>The Complete Works of Edgar Allen Poe,</w:t>
      </w:r>
      <w:r>
        <w:t xml:space="preserve"> </w:t>
      </w:r>
    </w:p>
    <w:p w14:paraId="26F8480E" w14:textId="77777777" w:rsidR="004B7B47" w:rsidRDefault="00875001" w:rsidP="004B7B47">
      <w:pPr>
        <w:spacing w:line="480" w:lineRule="auto"/>
        <w:ind w:left="720"/>
        <w:contextualSpacing/>
        <w:rPr>
          <w:sz w:val="20"/>
          <w:szCs w:val="20"/>
        </w:rPr>
      </w:pPr>
      <w:r>
        <w:t xml:space="preserve">edited by James A. Harrison, vol. 4, Thomas Y. Crowell, 1902, pp. 250-58. </w:t>
      </w:r>
      <w:r>
        <w:rPr>
          <w:i/>
        </w:rPr>
        <w:t>HathiTrust Digital Library</w:t>
      </w:r>
      <w:r>
        <w:t>, babel.hathitrust.org/cgi/pt?id+coo.</w:t>
      </w:r>
      <w:proofErr w:type="gramStart"/>
      <w:r>
        <w:t>31924079574368;view</w:t>
      </w:r>
      <w:proofErr w:type="gramEnd"/>
      <w:r>
        <w:t>+1up;seq=266.</w:t>
      </w:r>
      <w:r w:rsidR="00943436">
        <w:rPr>
          <w:sz w:val="20"/>
          <w:szCs w:val="20"/>
        </w:rPr>
        <w:t xml:space="preserve"> </w:t>
      </w:r>
      <w:r w:rsidR="00DD7FD1">
        <w:rPr>
          <w:sz w:val="20"/>
          <w:szCs w:val="20"/>
        </w:rPr>
        <w:t>[Online Anthology]</w:t>
      </w:r>
    </w:p>
    <w:p w14:paraId="1DF116CE" w14:textId="77777777" w:rsidR="00D55552" w:rsidRPr="004B7B47" w:rsidRDefault="004609FE" w:rsidP="004B7B47">
      <w:pPr>
        <w:spacing w:line="480" w:lineRule="auto"/>
        <w:contextualSpacing/>
        <w:rPr>
          <w:sz w:val="20"/>
          <w:szCs w:val="20"/>
        </w:rPr>
      </w:pPr>
      <w:r>
        <w:t xml:space="preserve">“Under the Gun.” </w:t>
      </w:r>
      <w:r>
        <w:rPr>
          <w:i/>
        </w:rPr>
        <w:t>Pretty Little Liars</w:t>
      </w:r>
      <w:r>
        <w:t xml:space="preserve">, season 4, episode 6, ABC Family, 16 July 2013. Hulu, </w:t>
      </w:r>
    </w:p>
    <w:p w14:paraId="4504AEE2" w14:textId="77777777" w:rsidR="004609FE" w:rsidRPr="006446FD" w:rsidRDefault="004609FE" w:rsidP="00D55552">
      <w:pPr>
        <w:spacing w:line="480" w:lineRule="auto"/>
        <w:ind w:firstLine="720"/>
        <w:contextualSpacing/>
        <w:rPr>
          <w:sz w:val="20"/>
          <w:szCs w:val="20"/>
        </w:rPr>
      </w:pPr>
      <w:hyperlink r:id="rId12" w:history="1">
        <w:r w:rsidRPr="00B37310">
          <w:rPr>
            <w:rStyle w:val="Hyperlink"/>
          </w:rPr>
          <w:t>www.hulu.com/watch/511318</w:t>
        </w:r>
      </w:hyperlink>
      <w:r w:rsidRPr="006446FD">
        <w:t xml:space="preserve">. </w:t>
      </w:r>
      <w:r w:rsidR="00942647">
        <w:rPr>
          <w:sz w:val="20"/>
          <w:szCs w:val="20"/>
        </w:rPr>
        <w:t>[Series Episode</w:t>
      </w:r>
      <w:r w:rsidR="00DD7FD1">
        <w:rPr>
          <w:sz w:val="20"/>
          <w:szCs w:val="20"/>
        </w:rPr>
        <w:t>]</w:t>
      </w:r>
    </w:p>
    <w:p w14:paraId="5FB5E9F8" w14:textId="77777777" w:rsidR="00076E61" w:rsidRPr="00FF0021" w:rsidRDefault="00190220" w:rsidP="00FF0021">
      <w:pPr>
        <w:spacing w:line="480" w:lineRule="auto"/>
        <w:contextualSpacing/>
      </w:pPr>
      <w:r w:rsidRPr="00501F69">
        <w:rPr>
          <w:rStyle w:val="CommentReference"/>
          <w:sz w:val="24"/>
          <w:szCs w:val="24"/>
        </w:rPr>
        <w:t xml:space="preserve">United States. Dept. of Labor.  </w:t>
      </w:r>
      <w:r w:rsidRPr="00501F69">
        <w:rPr>
          <w:rStyle w:val="CommentReference"/>
          <w:i/>
          <w:sz w:val="24"/>
          <w:szCs w:val="24"/>
        </w:rPr>
        <w:t xml:space="preserve">America’s Dynamic Workforce.  </w:t>
      </w:r>
      <w:r w:rsidR="00FF0021">
        <w:rPr>
          <w:rStyle w:val="CommentReference"/>
          <w:sz w:val="24"/>
          <w:szCs w:val="24"/>
        </w:rPr>
        <w:t xml:space="preserve">Washington: US Dept. of Labor, </w:t>
      </w:r>
      <w:r w:rsidRPr="00501F69">
        <w:rPr>
          <w:rStyle w:val="CommentReference"/>
          <w:sz w:val="24"/>
          <w:szCs w:val="24"/>
        </w:rPr>
        <w:t xml:space="preserve">2004.  </w:t>
      </w:r>
      <w:r w:rsidR="00DD7FD1">
        <w:rPr>
          <w:rStyle w:val="CommentReference"/>
          <w:sz w:val="20"/>
          <w:szCs w:val="20"/>
        </w:rPr>
        <w:t>[</w:t>
      </w:r>
      <w:r w:rsidRPr="00943436">
        <w:rPr>
          <w:rStyle w:val="CommentReference"/>
          <w:sz w:val="20"/>
          <w:szCs w:val="20"/>
        </w:rPr>
        <w:t>Government publication</w:t>
      </w:r>
      <w:r w:rsidR="00DD7FD1">
        <w:rPr>
          <w:rStyle w:val="CommentReference"/>
          <w:sz w:val="20"/>
          <w:szCs w:val="20"/>
        </w:rPr>
        <w:t>]</w:t>
      </w:r>
    </w:p>
    <w:sectPr w:rsidR="00076E61" w:rsidRPr="00FF0021" w:rsidSect="00D5555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48B01" w14:textId="77777777" w:rsidR="00315E9C" w:rsidRDefault="00315E9C">
      <w:r>
        <w:separator/>
      </w:r>
    </w:p>
  </w:endnote>
  <w:endnote w:type="continuationSeparator" w:id="0">
    <w:p w14:paraId="423FF34B" w14:textId="77777777" w:rsidR="00315E9C" w:rsidRDefault="0031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1A9A4" w14:textId="77777777" w:rsidR="00295B70" w:rsidRPr="001146EB" w:rsidRDefault="00295B70" w:rsidP="001A5513">
    <w:pPr>
      <w:pStyle w:val="Footer"/>
      <w:jc w:val="center"/>
      <w:rPr>
        <w:rFonts w:ascii="Arial" w:hAnsi="Arial" w:cs="Arial"/>
        <w:sz w:val="18"/>
        <w:szCs w:val="18"/>
      </w:rPr>
    </w:pPr>
    <w:r w:rsidRPr="001146EB">
      <w:rPr>
        <w:rFonts w:ascii="Arial" w:hAnsi="Arial" w:cs="Arial"/>
        <w:sz w:val="18"/>
        <w:szCs w:val="18"/>
      </w:rPr>
      <w:t>The Writing Center</w:t>
    </w:r>
  </w:p>
  <w:p w14:paraId="0CF5C1C9" w14:textId="77777777" w:rsidR="00295B70" w:rsidRPr="001146EB" w:rsidRDefault="00295B70" w:rsidP="001A5513">
    <w:pPr>
      <w:pStyle w:val="Footer"/>
      <w:jc w:val="center"/>
      <w:rPr>
        <w:rFonts w:ascii="Arial" w:hAnsi="Arial" w:cs="Arial"/>
        <w:sz w:val="18"/>
        <w:szCs w:val="18"/>
      </w:rPr>
    </w:pPr>
    <w:r w:rsidRPr="001146EB">
      <w:rPr>
        <w:rFonts w:ascii="Arial" w:hAnsi="Arial" w:cs="Arial"/>
        <w:sz w:val="18"/>
        <w:szCs w:val="18"/>
      </w:rPr>
      <w:t>Building 26B, Room 1561</w:t>
    </w:r>
  </w:p>
  <w:p w14:paraId="4B180141" w14:textId="77777777" w:rsidR="00295B70" w:rsidRPr="001146EB" w:rsidRDefault="00295B70" w:rsidP="001A5513">
    <w:pPr>
      <w:pStyle w:val="Footer"/>
      <w:jc w:val="center"/>
      <w:rPr>
        <w:rFonts w:ascii="Arial" w:hAnsi="Arial" w:cs="Arial"/>
        <w:sz w:val="18"/>
        <w:szCs w:val="18"/>
      </w:rPr>
    </w:pPr>
    <w:r w:rsidRPr="001146EB">
      <w:rPr>
        <w:rFonts w:ascii="Arial" w:hAnsi="Arial" w:cs="Arial"/>
        <w:sz w:val="18"/>
        <w:szCs w:val="18"/>
      </w:rPr>
      <w:t>(909) 594-5611 x5325</w:t>
    </w:r>
  </w:p>
  <w:p w14:paraId="72F4EE28" w14:textId="77777777" w:rsidR="00295B70" w:rsidRPr="001146EB" w:rsidRDefault="00295B70" w:rsidP="001A5513">
    <w:pPr>
      <w:pStyle w:val="Footer"/>
      <w:jc w:val="center"/>
      <w:rPr>
        <w:rFonts w:ascii="Arial" w:hAnsi="Arial" w:cs="Arial"/>
        <w:sz w:val="18"/>
        <w:szCs w:val="18"/>
      </w:rPr>
    </w:pPr>
    <w:r w:rsidRPr="001146EB">
      <w:rPr>
        <w:rFonts w:ascii="Arial" w:hAnsi="Arial" w:cs="Arial"/>
        <w:sz w:val="18"/>
        <w:szCs w:val="18"/>
      </w:rPr>
      <w:t>http://www.mtsac.edu/instruction/humanities/writingcenter/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D5455" w14:textId="77777777" w:rsidR="00315E9C" w:rsidRDefault="00315E9C">
      <w:r>
        <w:separator/>
      </w:r>
    </w:p>
  </w:footnote>
  <w:footnote w:type="continuationSeparator" w:id="0">
    <w:p w14:paraId="28C92771" w14:textId="77777777" w:rsidR="00315E9C" w:rsidRDefault="00315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142B3" w14:textId="77777777" w:rsidR="00295B70" w:rsidRDefault="00295B70">
    <w:pPr>
      <w:pStyle w:val="Header"/>
    </w:pPr>
    <w:r>
      <w:tab/>
    </w:r>
    <w:r>
      <w:tab/>
      <w:t>Smith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81DE8"/>
    <w:multiLevelType w:val="hybridMultilevel"/>
    <w:tmpl w:val="AE8E2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7A77E3"/>
    <w:multiLevelType w:val="hybridMultilevel"/>
    <w:tmpl w:val="1CD216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89"/>
    <w:rsid w:val="00026DD6"/>
    <w:rsid w:val="00040A43"/>
    <w:rsid w:val="00076E61"/>
    <w:rsid w:val="000B468A"/>
    <w:rsid w:val="001146EB"/>
    <w:rsid w:val="00190220"/>
    <w:rsid w:val="001A5513"/>
    <w:rsid w:val="001E6B20"/>
    <w:rsid w:val="001F3197"/>
    <w:rsid w:val="00214DD0"/>
    <w:rsid w:val="00216D18"/>
    <w:rsid w:val="002542E6"/>
    <w:rsid w:val="00291226"/>
    <w:rsid w:val="002957FA"/>
    <w:rsid w:val="00295B70"/>
    <w:rsid w:val="002F6EA3"/>
    <w:rsid w:val="0031428B"/>
    <w:rsid w:val="00315E9C"/>
    <w:rsid w:val="00360431"/>
    <w:rsid w:val="00374EA2"/>
    <w:rsid w:val="0039177D"/>
    <w:rsid w:val="00395C84"/>
    <w:rsid w:val="003D1F81"/>
    <w:rsid w:val="003F4AB1"/>
    <w:rsid w:val="0041579F"/>
    <w:rsid w:val="004609FE"/>
    <w:rsid w:val="0049210B"/>
    <w:rsid w:val="004B7B47"/>
    <w:rsid w:val="004C63D0"/>
    <w:rsid w:val="00501F69"/>
    <w:rsid w:val="00510DAD"/>
    <w:rsid w:val="00541403"/>
    <w:rsid w:val="005820F6"/>
    <w:rsid w:val="005C2069"/>
    <w:rsid w:val="005E195D"/>
    <w:rsid w:val="006446FD"/>
    <w:rsid w:val="006C4035"/>
    <w:rsid w:val="0072135F"/>
    <w:rsid w:val="00755240"/>
    <w:rsid w:val="00766F5C"/>
    <w:rsid w:val="007970B1"/>
    <w:rsid w:val="007976D4"/>
    <w:rsid w:val="00875001"/>
    <w:rsid w:val="008C24FF"/>
    <w:rsid w:val="00935A78"/>
    <w:rsid w:val="00942647"/>
    <w:rsid w:val="00943436"/>
    <w:rsid w:val="009A702C"/>
    <w:rsid w:val="009C2AF3"/>
    <w:rsid w:val="00A0457B"/>
    <w:rsid w:val="00A24CB5"/>
    <w:rsid w:val="00A4596D"/>
    <w:rsid w:val="00A77F4E"/>
    <w:rsid w:val="00AC3CD2"/>
    <w:rsid w:val="00AE5428"/>
    <w:rsid w:val="00B70E91"/>
    <w:rsid w:val="00B73BEB"/>
    <w:rsid w:val="00BA526F"/>
    <w:rsid w:val="00BD3D53"/>
    <w:rsid w:val="00C00221"/>
    <w:rsid w:val="00C2123A"/>
    <w:rsid w:val="00C716AB"/>
    <w:rsid w:val="00C81702"/>
    <w:rsid w:val="00C928F0"/>
    <w:rsid w:val="00CB6FE4"/>
    <w:rsid w:val="00CF47C4"/>
    <w:rsid w:val="00D55552"/>
    <w:rsid w:val="00DB172F"/>
    <w:rsid w:val="00DC2289"/>
    <w:rsid w:val="00DD7FD1"/>
    <w:rsid w:val="00E041D7"/>
    <w:rsid w:val="00E211C6"/>
    <w:rsid w:val="00E55AEA"/>
    <w:rsid w:val="00E57CDC"/>
    <w:rsid w:val="00E762B7"/>
    <w:rsid w:val="00EA1412"/>
    <w:rsid w:val="00F02A36"/>
    <w:rsid w:val="00F60BCE"/>
    <w:rsid w:val="00F91CDD"/>
    <w:rsid w:val="00FB3ED9"/>
    <w:rsid w:val="00FB7115"/>
    <w:rsid w:val="00FF0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B6B6E6A"/>
  <w15:chartTrackingRefBased/>
  <w15:docId w15:val="{545EB598-C00C-B84F-8E5C-FACDDEB5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qFormat/>
    <w:rsid w:val="00A0457B"/>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A5513"/>
    <w:pPr>
      <w:tabs>
        <w:tab w:val="center" w:pos="4320"/>
        <w:tab w:val="right" w:pos="8640"/>
      </w:tabs>
    </w:pPr>
  </w:style>
  <w:style w:type="paragraph" w:styleId="Footer">
    <w:name w:val="footer"/>
    <w:basedOn w:val="Normal"/>
    <w:rsid w:val="001A5513"/>
    <w:pPr>
      <w:tabs>
        <w:tab w:val="center" w:pos="4320"/>
        <w:tab w:val="right" w:pos="8640"/>
      </w:tabs>
    </w:pPr>
  </w:style>
  <w:style w:type="character" w:styleId="Strong">
    <w:name w:val="Strong"/>
    <w:qFormat/>
    <w:rsid w:val="00A0457B"/>
    <w:rPr>
      <w:b/>
      <w:bCs/>
    </w:rPr>
  </w:style>
  <w:style w:type="character" w:styleId="CommentReference">
    <w:name w:val="annotation reference"/>
    <w:semiHidden/>
    <w:rsid w:val="00E211C6"/>
    <w:rPr>
      <w:sz w:val="16"/>
      <w:szCs w:val="16"/>
    </w:rPr>
  </w:style>
  <w:style w:type="character" w:customStyle="1" w:styleId="definition">
    <w:name w:val="definition"/>
    <w:basedOn w:val="DefaultParagraphFont"/>
    <w:rsid w:val="00E211C6"/>
  </w:style>
  <w:style w:type="paragraph" w:styleId="NoSpacing">
    <w:name w:val="No Spacing"/>
    <w:uiPriority w:val="1"/>
    <w:qFormat/>
    <w:rsid w:val="00875001"/>
    <w:rPr>
      <w:rFonts w:ascii="Calibri" w:eastAsia="Calibri" w:hAnsi="Calibri"/>
      <w:sz w:val="22"/>
      <w:szCs w:val="22"/>
    </w:rPr>
  </w:style>
  <w:style w:type="character" w:styleId="Hyperlink">
    <w:name w:val="Hyperlink"/>
    <w:uiPriority w:val="99"/>
    <w:unhideWhenUsed/>
    <w:rsid w:val="00875001"/>
    <w:rPr>
      <w:color w:val="0563C1"/>
      <w:u w:val="single"/>
    </w:rPr>
  </w:style>
  <w:style w:type="paragraph" w:styleId="BalloonText">
    <w:name w:val="Balloon Text"/>
    <w:basedOn w:val="Normal"/>
    <w:link w:val="BalloonTextChar"/>
    <w:rsid w:val="005820F6"/>
    <w:rPr>
      <w:rFonts w:ascii="Segoe UI" w:hAnsi="Segoe UI" w:cs="Segoe UI"/>
      <w:sz w:val="18"/>
      <w:szCs w:val="18"/>
    </w:rPr>
  </w:style>
  <w:style w:type="character" w:customStyle="1" w:styleId="BalloonTextChar">
    <w:name w:val="Balloon Text Char"/>
    <w:link w:val="BalloonText"/>
    <w:rsid w:val="005820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388366">
      <w:bodyDiv w:val="1"/>
      <w:marLeft w:val="0"/>
      <w:marRight w:val="0"/>
      <w:marTop w:val="0"/>
      <w:marBottom w:val="0"/>
      <w:divBdr>
        <w:top w:val="none" w:sz="0" w:space="0" w:color="auto"/>
        <w:left w:val="none" w:sz="0" w:space="0" w:color="auto"/>
        <w:bottom w:val="none" w:sz="0" w:space="0" w:color="auto"/>
        <w:right w:val="none" w:sz="0" w:space="0" w:color="auto"/>
      </w:divBdr>
      <w:divsChild>
        <w:div w:id="1421029799">
          <w:marLeft w:val="0"/>
          <w:marRight w:val="0"/>
          <w:marTop w:val="0"/>
          <w:marBottom w:val="0"/>
          <w:divBdr>
            <w:top w:val="none" w:sz="0" w:space="0" w:color="auto"/>
            <w:left w:val="none" w:sz="0" w:space="0" w:color="auto"/>
            <w:bottom w:val="none" w:sz="0" w:space="0" w:color="auto"/>
            <w:right w:val="none" w:sz="0" w:space="0" w:color="auto"/>
          </w:divBdr>
          <w:divsChild>
            <w:div w:id="1775511750">
              <w:marLeft w:val="0"/>
              <w:marRight w:val="0"/>
              <w:marTop w:val="0"/>
              <w:marBottom w:val="0"/>
              <w:divBdr>
                <w:top w:val="none" w:sz="0" w:space="0" w:color="auto"/>
                <w:left w:val="none" w:sz="0" w:space="0" w:color="auto"/>
                <w:bottom w:val="none" w:sz="0" w:space="0" w:color="auto"/>
                <w:right w:val="none" w:sz="0" w:space="0" w:color="auto"/>
              </w:divBdr>
              <w:divsChild>
                <w:div w:id="1446123010">
                  <w:marLeft w:val="0"/>
                  <w:marRight w:val="0"/>
                  <w:marTop w:val="0"/>
                  <w:marBottom w:val="0"/>
                  <w:divBdr>
                    <w:top w:val="single" w:sz="6" w:space="0" w:color="BFCCD5"/>
                    <w:left w:val="none" w:sz="0" w:space="0" w:color="auto"/>
                    <w:bottom w:val="none" w:sz="0" w:space="0" w:color="auto"/>
                    <w:right w:val="none" w:sz="0" w:space="0" w:color="auto"/>
                  </w:divBdr>
                  <w:divsChild>
                    <w:div w:id="915091909">
                      <w:marLeft w:val="300"/>
                      <w:marRight w:val="300"/>
                      <w:marTop w:val="0"/>
                      <w:marBottom w:val="0"/>
                      <w:divBdr>
                        <w:top w:val="none" w:sz="0" w:space="0" w:color="auto"/>
                        <w:left w:val="none" w:sz="0" w:space="0" w:color="auto"/>
                        <w:bottom w:val="none" w:sz="0" w:space="0" w:color="auto"/>
                        <w:right w:val="none" w:sz="0" w:space="0" w:color="auto"/>
                      </w:divBdr>
                      <w:divsChild>
                        <w:div w:id="263656968">
                          <w:marLeft w:val="120"/>
                          <w:marRight w:val="0"/>
                          <w:marTop w:val="0"/>
                          <w:marBottom w:val="0"/>
                          <w:divBdr>
                            <w:top w:val="none" w:sz="0" w:space="0" w:color="auto"/>
                            <w:left w:val="none" w:sz="0" w:space="0" w:color="auto"/>
                            <w:bottom w:val="none" w:sz="0" w:space="0" w:color="auto"/>
                            <w:right w:val="none" w:sz="0" w:space="0" w:color="auto"/>
                          </w:divBdr>
                          <w:divsChild>
                            <w:div w:id="431054198">
                              <w:marLeft w:val="0"/>
                              <w:marRight w:val="0"/>
                              <w:marTop w:val="0"/>
                              <w:marBottom w:val="0"/>
                              <w:divBdr>
                                <w:top w:val="none" w:sz="0" w:space="0" w:color="auto"/>
                                <w:left w:val="none" w:sz="0" w:space="0" w:color="auto"/>
                                <w:bottom w:val="none" w:sz="0" w:space="0" w:color="auto"/>
                                <w:right w:val="none" w:sz="0" w:space="0" w:color="auto"/>
                              </w:divBdr>
                              <w:divsChild>
                                <w:div w:id="947464702">
                                  <w:marLeft w:val="0"/>
                                  <w:marRight w:val="0"/>
                                  <w:marTop w:val="0"/>
                                  <w:marBottom w:val="0"/>
                                  <w:divBdr>
                                    <w:top w:val="none" w:sz="0" w:space="0" w:color="auto"/>
                                    <w:left w:val="none" w:sz="0" w:space="0" w:color="auto"/>
                                    <w:bottom w:val="none" w:sz="0" w:space="0" w:color="auto"/>
                                    <w:right w:val="none" w:sz="0" w:space="0" w:color="auto"/>
                                  </w:divBdr>
                                  <w:divsChild>
                                    <w:div w:id="1940143710">
                                      <w:marLeft w:val="-225"/>
                                      <w:marRight w:val="-195"/>
                                      <w:marTop w:val="0"/>
                                      <w:marBottom w:val="75"/>
                                      <w:divBdr>
                                        <w:top w:val="none" w:sz="0" w:space="0" w:color="auto"/>
                                        <w:left w:val="none" w:sz="0" w:space="0" w:color="auto"/>
                                        <w:bottom w:val="none" w:sz="0" w:space="0" w:color="auto"/>
                                        <w:right w:val="none" w:sz="0" w:space="0" w:color="auto"/>
                                      </w:divBdr>
                                      <w:divsChild>
                                        <w:div w:id="70845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hulu.com/watch/511318"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stor.org/stable/410318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4E7E2A4124CA49B5BD11B8938BB480" ma:contentTypeVersion="16" ma:contentTypeDescription="Create a new document." ma:contentTypeScope="" ma:versionID="a4e0ea4df6b6bcd707f87b3d13533840">
  <xsd:schema xmlns:xsd="http://www.w3.org/2001/XMLSchema" xmlns:xs="http://www.w3.org/2001/XMLSchema" xmlns:p="http://schemas.microsoft.com/office/2006/metadata/properties" xmlns:ns2="55c31e73-abc8-4786-9fdf-eca6c96400cb" xmlns:ns3="ccbe3f28-63c7-485f-940a-7c239b795170" targetNamespace="http://schemas.microsoft.com/office/2006/metadata/properties" ma:root="true" ma:fieldsID="a2845df6e119413933080c96afc457a8" ns2:_="" ns3:_="">
    <xsd:import namespace="55c31e73-abc8-4786-9fdf-eca6c96400cb"/>
    <xsd:import namespace="ccbe3f28-63c7-485f-940a-7c239b7951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31e73-abc8-4786-9fdf-eca6c9640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be3f28-63c7-485f-940a-7c239b7951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febf58-c7e3-4f5c-90a1-2aed0ee7a29e}" ma:internalName="TaxCatchAll" ma:showField="CatchAllData" ma:web="ccbe3f28-63c7-485f-940a-7c239b7951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c31e73-abc8-4786-9fdf-eca6c96400cb">
      <Terms xmlns="http://schemas.microsoft.com/office/infopath/2007/PartnerControls"/>
    </lcf76f155ced4ddcb4097134ff3c332f>
    <TaxCatchAll xmlns="ccbe3f28-63c7-485f-940a-7c239b795170" xsi:nil="true"/>
  </documentManagement>
</p:properties>
</file>

<file path=customXml/itemProps1.xml><?xml version="1.0" encoding="utf-8"?>
<ds:datastoreItem xmlns:ds="http://schemas.openxmlformats.org/officeDocument/2006/customXml" ds:itemID="{5FB76510-7A73-43F2-BBBC-49873178A826}">
  <ds:schemaRefs>
    <ds:schemaRef ds:uri="http://schemas.microsoft.com/sharepoint/v3/contenttype/forms"/>
  </ds:schemaRefs>
</ds:datastoreItem>
</file>

<file path=customXml/itemProps2.xml><?xml version="1.0" encoding="utf-8"?>
<ds:datastoreItem xmlns:ds="http://schemas.openxmlformats.org/officeDocument/2006/customXml" ds:itemID="{0EF052E4-8173-41C4-B9ED-8219E7A5E972}"/>
</file>

<file path=customXml/itemProps3.xml><?xml version="1.0" encoding="utf-8"?>
<ds:datastoreItem xmlns:ds="http://schemas.openxmlformats.org/officeDocument/2006/customXml" ds:itemID="{D0B2C9CB-DC1B-4C70-8265-855E31B39D55}"/>
</file>

<file path=docProps/app.xml><?xml version="1.0" encoding="utf-8"?>
<Properties xmlns="http://schemas.openxmlformats.org/officeDocument/2006/extended-properties" xmlns:vt="http://schemas.openxmlformats.org/officeDocument/2006/docPropsVTypes">
  <Template>Normal.dotm</Template>
  <TotalTime>2</TotalTime>
  <Pages>2</Pages>
  <Words>610</Words>
  <Characters>2710</Characters>
  <Application>Microsoft Office Word</Application>
  <DocSecurity>0</DocSecurity>
  <Lines>44</Lines>
  <Paragraphs>3</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3317</CharactersWithSpaces>
  <SharedDoc>false</SharedDoc>
  <HLinks>
    <vt:vector size="12" baseType="variant">
      <vt:variant>
        <vt:i4>5636096</vt:i4>
      </vt:variant>
      <vt:variant>
        <vt:i4>3</vt:i4>
      </vt:variant>
      <vt:variant>
        <vt:i4>0</vt:i4>
      </vt:variant>
      <vt:variant>
        <vt:i4>5</vt:i4>
      </vt:variant>
      <vt:variant>
        <vt:lpwstr>http://www.hulu.com/watch/511318</vt:lpwstr>
      </vt:variant>
      <vt:variant>
        <vt:lpwstr/>
      </vt:variant>
      <vt:variant>
        <vt:i4>2359417</vt:i4>
      </vt:variant>
      <vt:variant>
        <vt:i4>0</vt:i4>
      </vt:variant>
      <vt:variant>
        <vt:i4>0</vt:i4>
      </vt:variant>
      <vt:variant>
        <vt:i4>5</vt:i4>
      </vt:variant>
      <vt:variant>
        <vt:lpwstr>http://www.jstor.org/stable/4103188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subject/>
  <dc:creator>etyson</dc:creator>
  <cp:keywords/>
  <dc:description/>
  <cp:lastModifiedBy>Murphy, Tara</cp:lastModifiedBy>
  <cp:revision>2</cp:revision>
  <cp:lastPrinted>2018-06-27T19:49:00Z</cp:lastPrinted>
  <dcterms:created xsi:type="dcterms:W3CDTF">2020-12-02T00:16:00Z</dcterms:created>
  <dcterms:modified xsi:type="dcterms:W3CDTF">2020-12-02T00:16:00Z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0x010100CA4E7E2A4124CA49B5BD11B8938BB480</vt:lpwstr>
  </property>
</Properties>
</file>