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0C164" w14:textId="77777777" w:rsidR="003679A0" w:rsidRDefault="0051158B" w:rsidP="00B23F3E">
      <w:pPr>
        <w:pStyle w:val="Title"/>
        <w:rPr>
          <w:b/>
        </w:rPr>
      </w:pPr>
      <w:r>
        <w:rPr>
          <w:b/>
        </w:rPr>
        <w:t xml:space="preserve">Chancellor’s </w:t>
      </w:r>
      <w:r w:rsidRPr="00A50D45">
        <w:rPr>
          <w:b/>
        </w:rPr>
        <w:t>Vision for Success Goals</w:t>
      </w:r>
      <w:r>
        <w:rPr>
          <w:b/>
        </w:rPr>
        <w:t xml:space="preserve"> </w:t>
      </w:r>
      <w:r w:rsidR="00ED3FBE">
        <w:rPr>
          <w:b/>
        </w:rPr>
        <w:t xml:space="preserve">Mapped to College Goals and </w:t>
      </w:r>
      <w:r>
        <w:rPr>
          <w:b/>
        </w:rPr>
        <w:t>Indicators</w:t>
      </w:r>
    </w:p>
    <w:p w14:paraId="7D17F8C9" w14:textId="77777777" w:rsidR="00ED3FBE" w:rsidRPr="00ED3FBE" w:rsidRDefault="00ED3FBE" w:rsidP="00ED3FBE">
      <w:pPr>
        <w:pStyle w:val="Subtitle"/>
      </w:pPr>
      <w:r>
        <w:t>Mt. San Antonio College</w:t>
      </w:r>
    </w:p>
    <w:p w14:paraId="1BB02099" w14:textId="11C9F9BB" w:rsidR="0051158B" w:rsidRPr="00860AA7" w:rsidRDefault="00860AA7" w:rsidP="009F519E">
      <w:pPr>
        <w:pStyle w:val="Heading1"/>
        <w:rPr>
          <w:color w:val="70AD47" w:themeColor="accent6"/>
        </w:rPr>
      </w:pPr>
      <w:r w:rsidRPr="00860AA7">
        <w:rPr>
          <w:color w:val="70AD47" w:themeColor="accent6"/>
        </w:rPr>
        <w:t>March 4, 2019</w:t>
      </w:r>
      <w:r w:rsidR="009A10C3" w:rsidRPr="00860AA7">
        <w:rPr>
          <w:color w:val="70AD47" w:themeColor="accent6"/>
        </w:rPr>
        <w:t xml:space="preserve"> (draft)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  <w:tblCaption w:val="Table shows College Goals, Chancellor's Goals, and College Key Performance Indicators"/>
        <w:tblDescription w:val="Table shows goals and linkages between goals. It also details the Key Performance Indicators for the College to achieve by the year 2021 to 2022. "/>
      </w:tblPr>
      <w:tblGrid>
        <w:gridCol w:w="9714"/>
        <w:gridCol w:w="8996"/>
      </w:tblGrid>
      <w:tr w:rsidR="00843E27" w:rsidRPr="00906CCB" w14:paraId="45FDA45E" w14:textId="77777777" w:rsidTr="00636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pct"/>
          </w:tcPr>
          <w:p w14:paraId="4EDF3E82" w14:textId="77777777" w:rsidR="00843E27" w:rsidRPr="00B11924" w:rsidRDefault="00843E27" w:rsidP="002D3B58">
            <w:pPr>
              <w:tabs>
                <w:tab w:val="left" w:pos="700"/>
              </w:tabs>
              <w:spacing w:before="64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Chancellor’s Office Vision for Success Goals</w:t>
            </w:r>
          </w:p>
        </w:tc>
        <w:tc>
          <w:tcPr>
            <w:tcW w:w="2404" w:type="pct"/>
          </w:tcPr>
          <w:p w14:paraId="656DF284" w14:textId="77777777" w:rsidR="00843E27" w:rsidRPr="0051158B" w:rsidRDefault="00843E27" w:rsidP="0051158B">
            <w:pPr>
              <w:tabs>
                <w:tab w:val="left" w:pos="700"/>
              </w:tabs>
              <w:spacing w:before="6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Mt. SAC’s </w:t>
            </w:r>
            <w:r w:rsidRPr="0051158B">
              <w:rPr>
                <w:rFonts w:cstheme="minorHAnsi"/>
                <w:sz w:val="40"/>
                <w:szCs w:val="40"/>
              </w:rPr>
              <w:t>Key Performance Indic</w:t>
            </w:r>
            <w:r>
              <w:rPr>
                <w:rFonts w:cstheme="minorHAnsi"/>
                <w:sz w:val="40"/>
                <w:szCs w:val="40"/>
              </w:rPr>
              <w:t>a</w:t>
            </w:r>
            <w:r w:rsidRPr="0051158B">
              <w:rPr>
                <w:rFonts w:cstheme="minorHAnsi"/>
                <w:sz w:val="40"/>
                <w:szCs w:val="40"/>
              </w:rPr>
              <w:t>tors</w:t>
            </w:r>
          </w:p>
        </w:tc>
      </w:tr>
      <w:tr w:rsidR="00843E27" w14:paraId="64831ABB" w14:textId="77777777" w:rsidTr="00636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pct"/>
          </w:tcPr>
          <w:p w14:paraId="2E979200" w14:textId="7FD6605A" w:rsidR="00843E27" w:rsidRPr="003B1B4D" w:rsidRDefault="00843E27" w:rsidP="006355C7">
            <w:pPr>
              <w:pStyle w:val="ListParagraph"/>
              <w:numPr>
                <w:ilvl w:val="0"/>
                <w:numId w:val="2"/>
              </w:numPr>
              <w:tabs>
                <w:tab w:val="left" w:pos="700"/>
              </w:tabs>
              <w:spacing w:before="64"/>
              <w:rPr>
                <w:rFonts w:cstheme="minorHAnsi"/>
                <w:sz w:val="40"/>
                <w:szCs w:val="40"/>
              </w:rPr>
            </w:pPr>
            <w:r w:rsidRPr="00892720">
              <w:rPr>
                <w:rFonts w:cstheme="minorHAnsi"/>
                <w:u w:val="single"/>
              </w:rPr>
              <w:t>Increase</w:t>
            </w:r>
            <w:r w:rsidRPr="00574463">
              <w:rPr>
                <w:rFonts w:cstheme="minorHAnsi"/>
              </w:rPr>
              <w:t xml:space="preserve"> by at least </w:t>
            </w:r>
            <w:r w:rsidRPr="00892720">
              <w:rPr>
                <w:rFonts w:cstheme="minorHAnsi"/>
                <w:u w:val="single"/>
              </w:rPr>
              <w:t>20 percent</w:t>
            </w:r>
            <w:r w:rsidRPr="00574463">
              <w:rPr>
                <w:rFonts w:cstheme="minorHAnsi"/>
              </w:rPr>
              <w:t xml:space="preserve"> the number of CCC students annually who acquire associate degrees, credentials, certificates, or specific job-oriented skill sets.</w:t>
            </w:r>
            <w:r>
              <w:rPr>
                <w:rFonts w:cstheme="minorHAnsi"/>
              </w:rPr>
              <w:t xml:space="preserve"> </w:t>
            </w:r>
            <w:r w:rsidR="00CC10F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(Linked to College Goals 1, 3, 4)</w:t>
            </w:r>
          </w:p>
          <w:p w14:paraId="07C8DA67" w14:textId="5E3B4D29" w:rsidR="00893501" w:rsidRDefault="00843E27" w:rsidP="003B1B4D">
            <w:pPr>
              <w:tabs>
                <w:tab w:val="left" w:pos="700"/>
              </w:tabs>
              <w:spacing w:before="64"/>
              <w:rPr>
                <w:rFonts w:cstheme="minorHAnsi"/>
              </w:rPr>
            </w:pPr>
            <w:r w:rsidRPr="006E40C9">
              <w:rPr>
                <w:rFonts w:cstheme="minorHAnsi"/>
                <w:b w:val="0"/>
              </w:rPr>
              <w:t>College Goal 1</w:t>
            </w:r>
            <w:r>
              <w:rPr>
                <w:rFonts w:cstheme="minorHAnsi"/>
              </w:rPr>
              <w:t xml:space="preserve"> - Expand &amp; Support Instruction &amp; Student Services:</w:t>
            </w:r>
          </w:p>
          <w:p w14:paraId="3F6F5113" w14:textId="77777777" w:rsidR="00843E27" w:rsidRDefault="00843E27" w:rsidP="003B1B4D">
            <w:pPr>
              <w:tabs>
                <w:tab w:val="left" w:pos="700"/>
              </w:tabs>
              <w:spacing w:before="64"/>
              <w:rPr>
                <w:rFonts w:cstheme="minorHAnsi"/>
              </w:rPr>
            </w:pPr>
            <w:r>
              <w:rPr>
                <w:rFonts w:cstheme="minorHAnsi"/>
              </w:rPr>
              <w:t>Expand and support innovation in teaching, learning, support, and management within the College.</w:t>
            </w:r>
          </w:p>
          <w:p w14:paraId="2C860D76" w14:textId="240C1076" w:rsidR="00843E27" w:rsidRPr="003B1B4D" w:rsidRDefault="00843E27" w:rsidP="003B1B4D">
            <w:pPr>
              <w:tabs>
                <w:tab w:val="left" w:pos="700"/>
              </w:tabs>
              <w:spacing w:before="64"/>
              <w:rPr>
                <w:rFonts w:cstheme="minorHAnsi"/>
              </w:rPr>
            </w:pPr>
            <w:r w:rsidRPr="006E40C9">
              <w:rPr>
                <w:rFonts w:cstheme="minorHAnsi"/>
                <w:b w:val="0"/>
              </w:rPr>
              <w:t>College Goal 3</w:t>
            </w:r>
            <w:r w:rsidRPr="003B1B4D">
              <w:rPr>
                <w:rFonts w:cstheme="minorHAnsi"/>
              </w:rPr>
              <w:t xml:space="preserve"> - Expand Professional Development: </w:t>
            </w:r>
            <w:r w:rsidR="00CC10F3">
              <w:rPr>
                <w:rFonts w:cstheme="minorHAnsi"/>
              </w:rPr>
              <w:t xml:space="preserve"> </w:t>
            </w:r>
            <w:r w:rsidRPr="003B1B4D">
              <w:rPr>
                <w:rFonts w:cstheme="minorHAnsi"/>
              </w:rPr>
              <w:t xml:space="preserve">Provide professional development that advances the contribution of College personnel in achieving the College mission. </w:t>
            </w:r>
          </w:p>
          <w:p w14:paraId="2DBF2D41" w14:textId="7DE04E4A" w:rsidR="00843E27" w:rsidRDefault="00843E27" w:rsidP="003B1B4D">
            <w:pPr>
              <w:tabs>
                <w:tab w:val="left" w:pos="700"/>
              </w:tabs>
              <w:spacing w:before="64"/>
              <w:rPr>
                <w:rFonts w:cstheme="minorHAnsi"/>
              </w:rPr>
            </w:pPr>
            <w:r w:rsidRPr="006E40C9">
              <w:rPr>
                <w:rFonts w:cstheme="minorHAnsi"/>
                <w:b w:val="0"/>
              </w:rPr>
              <w:t>College Goal 4</w:t>
            </w:r>
            <w:r w:rsidRPr="003B1B4D">
              <w:rPr>
                <w:rFonts w:cstheme="minorHAnsi"/>
              </w:rPr>
              <w:t xml:space="preserve"> - Sustain Effective Collaboration: </w:t>
            </w:r>
            <w:r w:rsidR="00CC10F3">
              <w:rPr>
                <w:rFonts w:cstheme="minorHAnsi"/>
              </w:rPr>
              <w:t xml:space="preserve"> </w:t>
            </w:r>
            <w:r w:rsidRPr="003B1B4D">
              <w:rPr>
                <w:rFonts w:cstheme="minorHAnsi"/>
              </w:rPr>
              <w:t>Sustain effective participatory governance and decision-making to ensure that the direction of the College is well informed and collectively implemented.</w:t>
            </w:r>
          </w:p>
          <w:p w14:paraId="1A37D1BC" w14:textId="77777777" w:rsidR="006B44ED" w:rsidRPr="009C7866" w:rsidRDefault="006B44ED" w:rsidP="003B1B4D">
            <w:pPr>
              <w:tabs>
                <w:tab w:val="left" w:pos="700"/>
              </w:tabs>
              <w:spacing w:before="64"/>
              <w:rPr>
                <w:rFonts w:cstheme="minorHAnsi"/>
              </w:rPr>
            </w:pPr>
          </w:p>
        </w:tc>
        <w:tc>
          <w:tcPr>
            <w:tcW w:w="2404" w:type="pct"/>
          </w:tcPr>
          <w:p w14:paraId="6A75D8D5" w14:textId="3321DD5D" w:rsidR="00843E27" w:rsidRDefault="00843E27" w:rsidP="00ED37AC">
            <w:pPr>
              <w:pStyle w:val="ListParagraph"/>
              <w:numPr>
                <w:ilvl w:val="0"/>
                <w:numId w:val="9"/>
              </w:numPr>
              <w:tabs>
                <w:tab w:val="left" w:pos="700"/>
              </w:tabs>
              <w:spacing w:before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D37AC">
              <w:rPr>
                <w:rFonts w:cstheme="minorHAnsi"/>
              </w:rPr>
              <w:t xml:space="preserve">Mt. SAC will increase the total number of completed associate degrees from </w:t>
            </w:r>
            <w:r w:rsidRPr="00505457">
              <w:rPr>
                <w:rFonts w:cstheme="minorHAnsi"/>
                <w:b/>
                <w:strike/>
                <w:color w:val="FF0000"/>
              </w:rPr>
              <w:t>2</w:t>
            </w:r>
            <w:r w:rsidR="00977DFF" w:rsidRPr="00505457">
              <w:rPr>
                <w:rFonts w:cstheme="minorHAnsi"/>
                <w:b/>
                <w:strike/>
                <w:color w:val="FF0000"/>
              </w:rPr>
              <w:t>,</w:t>
            </w:r>
            <w:r w:rsidRPr="00505457">
              <w:rPr>
                <w:rFonts w:cstheme="minorHAnsi"/>
                <w:b/>
                <w:strike/>
                <w:color w:val="FF0000"/>
              </w:rPr>
              <w:t>129</w:t>
            </w:r>
            <w:r w:rsidR="00505457" w:rsidRPr="00505457">
              <w:rPr>
                <w:rFonts w:cstheme="minorHAnsi"/>
                <w:b/>
                <w:color w:val="FF0000"/>
              </w:rPr>
              <w:t xml:space="preserve"> </w:t>
            </w:r>
            <w:r w:rsidR="00505457">
              <w:rPr>
                <w:rFonts w:cstheme="minorHAnsi"/>
                <w:b/>
              </w:rPr>
              <w:t>2,062</w:t>
            </w:r>
            <w:r w:rsidRPr="00ED37AC">
              <w:rPr>
                <w:rFonts w:cstheme="minorHAnsi"/>
              </w:rPr>
              <w:t xml:space="preserve"> in 2016-17 to </w:t>
            </w:r>
            <w:r w:rsidRPr="00505457">
              <w:rPr>
                <w:rFonts w:cstheme="minorHAnsi"/>
                <w:b/>
                <w:strike/>
                <w:color w:val="FF0000"/>
              </w:rPr>
              <w:t>2,214</w:t>
            </w:r>
            <w:r w:rsidR="00505457" w:rsidRPr="00505457">
              <w:rPr>
                <w:rFonts w:cstheme="minorHAnsi"/>
                <w:b/>
                <w:strike/>
                <w:color w:val="FF0000"/>
              </w:rPr>
              <w:t xml:space="preserve"> </w:t>
            </w:r>
            <w:r w:rsidR="00505457">
              <w:rPr>
                <w:rFonts w:cstheme="minorHAnsi"/>
                <w:b/>
              </w:rPr>
              <w:t>2,144</w:t>
            </w:r>
            <w:r w:rsidRPr="00ED37AC">
              <w:rPr>
                <w:rFonts w:cstheme="minorHAnsi"/>
                <w:color w:val="FF0000"/>
              </w:rPr>
              <w:t xml:space="preserve"> </w:t>
            </w:r>
            <w:r w:rsidRPr="00ED37AC">
              <w:rPr>
                <w:rFonts w:cstheme="minorHAnsi"/>
              </w:rPr>
              <w:t xml:space="preserve">in 2021-22, an increase of </w:t>
            </w:r>
            <w:r w:rsidRPr="002F05DB">
              <w:rPr>
                <w:rFonts w:cstheme="minorHAnsi"/>
                <w:b/>
              </w:rPr>
              <w:t>4 percent</w:t>
            </w:r>
            <w:r w:rsidRPr="00ED37AC">
              <w:rPr>
                <w:rFonts w:cstheme="minorHAnsi"/>
              </w:rPr>
              <w:t xml:space="preserve">. </w:t>
            </w:r>
            <w:r w:rsidR="00CC10F3">
              <w:rPr>
                <w:rFonts w:cstheme="minorHAnsi"/>
              </w:rPr>
              <w:t xml:space="preserve"> </w:t>
            </w:r>
            <w:r w:rsidRPr="00ED37AC">
              <w:rPr>
                <w:rFonts w:cstheme="minorHAnsi"/>
              </w:rPr>
              <w:t xml:space="preserve">(Institution-set Standards </w:t>
            </w:r>
            <w:r w:rsidR="00CC10F3">
              <w:rPr>
                <w:rFonts w:cstheme="minorHAnsi"/>
              </w:rPr>
              <w:t>[</w:t>
            </w:r>
            <w:r w:rsidRPr="00ED37AC">
              <w:rPr>
                <w:rFonts w:cstheme="minorHAnsi"/>
              </w:rPr>
              <w:t>ISS</w:t>
            </w:r>
            <w:r w:rsidR="00CC10F3">
              <w:rPr>
                <w:rFonts w:cstheme="minorHAnsi"/>
              </w:rPr>
              <w:t>]</w:t>
            </w:r>
            <w:r w:rsidRPr="00ED37AC">
              <w:rPr>
                <w:rFonts w:cstheme="minorHAnsi"/>
              </w:rPr>
              <w:t>)</w:t>
            </w:r>
          </w:p>
          <w:p w14:paraId="2B2D1458" w14:textId="77777777" w:rsidR="00843E27" w:rsidRPr="00BC660F" w:rsidRDefault="00843E27" w:rsidP="00ED37AC">
            <w:pPr>
              <w:pStyle w:val="ListParagraph"/>
              <w:numPr>
                <w:ilvl w:val="0"/>
                <w:numId w:val="8"/>
              </w:numPr>
              <w:tabs>
                <w:tab w:val="left" w:pos="700"/>
              </w:tabs>
              <w:spacing w:before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D37AC">
              <w:rPr>
                <w:rFonts w:cstheme="minorHAnsi"/>
              </w:rPr>
              <w:t xml:space="preserve">Mt. SAC will increase the number of completed </w:t>
            </w:r>
            <w:r w:rsidR="00B10925" w:rsidRPr="00ED37AC">
              <w:rPr>
                <w:rFonts w:cstheme="minorHAnsi"/>
              </w:rPr>
              <w:t xml:space="preserve">Chancellor’s Office approved </w:t>
            </w:r>
            <w:r w:rsidRPr="00ED37AC">
              <w:rPr>
                <w:rFonts w:cstheme="minorHAnsi"/>
              </w:rPr>
              <w:t xml:space="preserve">certificates from </w:t>
            </w:r>
            <w:r w:rsidRPr="00A91A6B">
              <w:rPr>
                <w:rFonts w:cstheme="minorHAnsi"/>
                <w:b/>
                <w:strike/>
                <w:color w:val="FF0000"/>
              </w:rPr>
              <w:t>453</w:t>
            </w:r>
            <w:r w:rsidR="00A91A6B" w:rsidRPr="00A91A6B">
              <w:rPr>
                <w:rFonts w:cstheme="minorHAnsi"/>
                <w:b/>
                <w:color w:val="FF0000"/>
              </w:rPr>
              <w:t xml:space="preserve"> </w:t>
            </w:r>
            <w:r w:rsidR="00A91A6B">
              <w:rPr>
                <w:rFonts w:cstheme="minorHAnsi"/>
                <w:b/>
              </w:rPr>
              <w:t>405</w:t>
            </w:r>
            <w:r w:rsidRPr="00ED37AC">
              <w:rPr>
                <w:rFonts w:cstheme="minorHAnsi"/>
              </w:rPr>
              <w:t xml:space="preserve"> in 2016-17 to </w:t>
            </w:r>
            <w:r w:rsidRPr="00A91A6B">
              <w:rPr>
                <w:rFonts w:cstheme="minorHAnsi"/>
                <w:b/>
                <w:strike/>
                <w:color w:val="FF0000"/>
              </w:rPr>
              <w:t>544</w:t>
            </w:r>
            <w:r w:rsidR="00A91A6B" w:rsidRPr="00A91A6B">
              <w:rPr>
                <w:rFonts w:cstheme="minorHAnsi"/>
                <w:b/>
                <w:color w:val="FF0000"/>
              </w:rPr>
              <w:t xml:space="preserve"> </w:t>
            </w:r>
            <w:r w:rsidR="00A91A6B">
              <w:rPr>
                <w:rFonts w:cstheme="minorHAnsi"/>
                <w:b/>
              </w:rPr>
              <w:t>486</w:t>
            </w:r>
            <w:r w:rsidRPr="00ED37AC">
              <w:rPr>
                <w:rFonts w:cstheme="minorHAnsi"/>
                <w:color w:val="FF0000"/>
              </w:rPr>
              <w:t xml:space="preserve"> </w:t>
            </w:r>
            <w:r w:rsidRPr="00ED37AC">
              <w:rPr>
                <w:rFonts w:cstheme="minorHAnsi"/>
              </w:rPr>
              <w:t xml:space="preserve">in 2021-22, an increase of </w:t>
            </w:r>
            <w:r w:rsidRPr="002F05DB">
              <w:rPr>
                <w:rFonts w:cstheme="minorHAnsi"/>
                <w:b/>
              </w:rPr>
              <w:t>20 percent</w:t>
            </w:r>
            <w:r w:rsidRPr="00ED37AC">
              <w:rPr>
                <w:rFonts w:cstheme="minorHAnsi"/>
              </w:rPr>
              <w:t xml:space="preserve">. </w:t>
            </w:r>
            <w:r w:rsidR="00CC10F3">
              <w:rPr>
                <w:rFonts w:cstheme="minorHAnsi"/>
              </w:rPr>
              <w:t xml:space="preserve"> </w:t>
            </w:r>
            <w:r w:rsidRPr="00ED37AC">
              <w:rPr>
                <w:rFonts w:cstheme="minorHAnsi"/>
                <w:i/>
              </w:rPr>
              <w:t xml:space="preserve">(Accreditation: Institution-set Standards </w:t>
            </w:r>
            <w:r w:rsidR="00CC10F3">
              <w:rPr>
                <w:rFonts w:cstheme="minorHAnsi"/>
                <w:i/>
              </w:rPr>
              <w:t>[</w:t>
            </w:r>
            <w:r w:rsidRPr="00ED37AC">
              <w:rPr>
                <w:rFonts w:cstheme="minorHAnsi"/>
                <w:i/>
              </w:rPr>
              <w:t>ISS</w:t>
            </w:r>
            <w:r w:rsidR="00CC10F3">
              <w:rPr>
                <w:rFonts w:cstheme="minorHAnsi"/>
                <w:i/>
              </w:rPr>
              <w:t>]</w:t>
            </w:r>
            <w:r w:rsidRPr="00ED37AC">
              <w:rPr>
                <w:rFonts w:cstheme="minorHAnsi"/>
                <w:i/>
              </w:rPr>
              <w:t>)</w:t>
            </w:r>
          </w:p>
          <w:p w14:paraId="460C64C8" w14:textId="291A7F54" w:rsidR="00BC660F" w:rsidRPr="00ED37AC" w:rsidRDefault="003E004D" w:rsidP="00ED37AC">
            <w:pPr>
              <w:pStyle w:val="ListParagraph"/>
              <w:numPr>
                <w:ilvl w:val="0"/>
                <w:numId w:val="8"/>
              </w:numPr>
              <w:tabs>
                <w:tab w:val="left" w:pos="700"/>
              </w:tabs>
              <w:spacing w:before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</w:rPr>
              <w:t>(</w:t>
            </w:r>
            <w:r w:rsidRPr="003E004D">
              <w:rPr>
                <w:rFonts w:cstheme="minorHAnsi"/>
                <w:i/>
                <w:highlight w:val="yellow"/>
              </w:rPr>
              <w:t>optional</w:t>
            </w:r>
            <w:r>
              <w:rPr>
                <w:rFonts w:cstheme="minorHAnsi"/>
                <w:i/>
              </w:rPr>
              <w:t xml:space="preserve">) </w:t>
            </w:r>
            <w:r w:rsidR="00BC660F">
              <w:rPr>
                <w:rFonts w:cstheme="minorHAnsi"/>
                <w:i/>
              </w:rPr>
              <w:t xml:space="preserve">Mt. SAC will increase the number of students who </w:t>
            </w:r>
            <w:proofErr w:type="gramStart"/>
            <w:r w:rsidR="00BC660F">
              <w:rPr>
                <w:rFonts w:cstheme="minorHAnsi"/>
                <w:i/>
              </w:rPr>
              <w:t>Attained</w:t>
            </w:r>
            <w:proofErr w:type="gramEnd"/>
            <w:r w:rsidR="00BC660F">
              <w:rPr>
                <w:rFonts w:cstheme="minorHAnsi"/>
                <w:i/>
              </w:rPr>
              <w:t xml:space="preserve"> the Vision Goal Completion Definition from </w:t>
            </w:r>
            <w:r w:rsidR="00BC660F" w:rsidRPr="00BC660F">
              <w:rPr>
                <w:rFonts w:cstheme="minorHAnsi"/>
                <w:b/>
                <w:i/>
              </w:rPr>
              <w:t>2298</w:t>
            </w:r>
            <w:r w:rsidR="00BC660F">
              <w:rPr>
                <w:rFonts w:cstheme="minorHAnsi"/>
                <w:i/>
              </w:rPr>
              <w:t xml:space="preserve"> in 2016-17 to </w:t>
            </w:r>
            <w:r w:rsidR="00BC660F" w:rsidRPr="00BC660F">
              <w:rPr>
                <w:rFonts w:cstheme="minorHAnsi"/>
                <w:b/>
                <w:i/>
                <w:highlight w:val="yellow"/>
              </w:rPr>
              <w:t>XXXX</w:t>
            </w:r>
            <w:r w:rsidR="00BC660F">
              <w:rPr>
                <w:rFonts w:cstheme="minorHAnsi"/>
                <w:i/>
              </w:rPr>
              <w:t xml:space="preserve"> in 2021-22, an increase of </w:t>
            </w:r>
            <w:r w:rsidR="00BC660F" w:rsidRPr="00BC660F">
              <w:rPr>
                <w:rFonts w:cstheme="minorHAnsi"/>
                <w:b/>
                <w:i/>
                <w:highlight w:val="yellow"/>
              </w:rPr>
              <w:t>XX</w:t>
            </w:r>
            <w:r w:rsidR="00BC660F">
              <w:rPr>
                <w:rFonts w:cstheme="minorHAnsi"/>
                <w:i/>
              </w:rPr>
              <w:t xml:space="preserve"> percent. (</w:t>
            </w:r>
            <w:r w:rsidR="00BC660F" w:rsidRPr="00BC660F">
              <w:rPr>
                <w:rFonts w:cstheme="minorHAnsi"/>
                <w:i/>
                <w:highlight w:val="yellow"/>
              </w:rPr>
              <w:t>new</w:t>
            </w:r>
            <w:r w:rsidR="00BC660F">
              <w:rPr>
                <w:rFonts w:cstheme="minorHAnsi"/>
                <w:i/>
              </w:rPr>
              <w:t>)</w:t>
            </w:r>
          </w:p>
        </w:tc>
      </w:tr>
      <w:tr w:rsidR="00843E27" w14:paraId="7E2DD0C8" w14:textId="77777777" w:rsidTr="00636F30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pct"/>
          </w:tcPr>
          <w:p w14:paraId="14A55C1E" w14:textId="5559A9E3" w:rsidR="00843E27" w:rsidRPr="003B1B4D" w:rsidRDefault="00843E27" w:rsidP="003523F5">
            <w:pPr>
              <w:pStyle w:val="ListParagraph"/>
              <w:numPr>
                <w:ilvl w:val="0"/>
                <w:numId w:val="2"/>
              </w:numPr>
              <w:tabs>
                <w:tab w:val="left" w:pos="700"/>
              </w:tabs>
              <w:spacing w:before="64"/>
              <w:rPr>
                <w:rFonts w:cstheme="minorHAnsi"/>
                <w:sz w:val="40"/>
                <w:szCs w:val="40"/>
              </w:rPr>
            </w:pPr>
            <w:r w:rsidRPr="00892720">
              <w:rPr>
                <w:rFonts w:cstheme="minorHAnsi"/>
                <w:u w:val="single"/>
              </w:rPr>
              <w:t>Increase</w:t>
            </w:r>
            <w:r w:rsidRPr="00574463">
              <w:rPr>
                <w:rFonts w:cstheme="minorHAnsi"/>
              </w:rPr>
              <w:t xml:space="preserve"> by </w:t>
            </w:r>
            <w:r w:rsidRPr="00892720">
              <w:rPr>
                <w:rFonts w:cstheme="minorHAnsi"/>
                <w:u w:val="single"/>
              </w:rPr>
              <w:t>35 percent</w:t>
            </w:r>
            <w:r w:rsidRPr="00574463">
              <w:rPr>
                <w:rFonts w:cstheme="minorHAnsi"/>
              </w:rPr>
              <w:t xml:space="preserve"> the number of CCC students systemwide </w:t>
            </w:r>
            <w:r>
              <w:rPr>
                <w:rFonts w:cstheme="minorHAnsi"/>
              </w:rPr>
              <w:t>t</w:t>
            </w:r>
            <w:r w:rsidRPr="00574463">
              <w:rPr>
                <w:rFonts w:cstheme="minorHAnsi"/>
              </w:rPr>
              <w:t>ransferring annually to a UC or CSU.</w:t>
            </w:r>
            <w:r>
              <w:rPr>
                <w:rFonts w:cstheme="minorHAnsi"/>
              </w:rPr>
              <w:t xml:space="preserve"> </w:t>
            </w:r>
            <w:r w:rsidR="00CC10F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(Linked to College Goals 1, 3, 4)</w:t>
            </w:r>
          </w:p>
          <w:p w14:paraId="26CB98C2" w14:textId="77777777" w:rsidR="00843E27" w:rsidRDefault="00843E27" w:rsidP="003B1B4D">
            <w:pPr>
              <w:tabs>
                <w:tab w:val="left" w:pos="700"/>
              </w:tabs>
              <w:spacing w:before="64"/>
              <w:rPr>
                <w:rFonts w:cstheme="minorHAnsi"/>
              </w:rPr>
            </w:pPr>
            <w:r w:rsidRPr="006E40C9">
              <w:rPr>
                <w:rFonts w:cstheme="minorHAnsi"/>
                <w:b w:val="0"/>
              </w:rPr>
              <w:t>College Goal 1</w:t>
            </w:r>
            <w:r>
              <w:rPr>
                <w:rFonts w:cstheme="minorHAnsi"/>
              </w:rPr>
              <w:t xml:space="preserve"> - Expand &amp; Support Instruction &amp; Student Services:</w:t>
            </w:r>
          </w:p>
          <w:p w14:paraId="6BB0043E" w14:textId="77777777" w:rsidR="00843E27" w:rsidRDefault="00843E27" w:rsidP="003B1B4D">
            <w:pPr>
              <w:tabs>
                <w:tab w:val="left" w:pos="700"/>
              </w:tabs>
              <w:spacing w:before="64"/>
              <w:rPr>
                <w:rFonts w:cstheme="minorHAnsi"/>
              </w:rPr>
            </w:pPr>
            <w:r>
              <w:rPr>
                <w:rFonts w:cstheme="minorHAnsi"/>
              </w:rPr>
              <w:t>Expand and support innovation in teaching, learning, support, and management within the College.</w:t>
            </w:r>
          </w:p>
          <w:p w14:paraId="5A9FC073" w14:textId="6BD73BA9" w:rsidR="00843E27" w:rsidRPr="003B1B4D" w:rsidRDefault="00843E27" w:rsidP="003B1B4D">
            <w:pPr>
              <w:tabs>
                <w:tab w:val="left" w:pos="700"/>
              </w:tabs>
              <w:spacing w:before="64"/>
              <w:rPr>
                <w:rFonts w:cstheme="minorHAnsi"/>
              </w:rPr>
            </w:pPr>
            <w:r w:rsidRPr="006E40C9">
              <w:rPr>
                <w:rFonts w:cstheme="minorHAnsi"/>
                <w:b w:val="0"/>
              </w:rPr>
              <w:t>College Goal 3</w:t>
            </w:r>
            <w:r w:rsidRPr="003B1B4D">
              <w:rPr>
                <w:rFonts w:cstheme="minorHAnsi"/>
              </w:rPr>
              <w:t xml:space="preserve"> - Expand Professional Development:</w:t>
            </w:r>
            <w:r w:rsidR="00CC10F3">
              <w:rPr>
                <w:rFonts w:cstheme="minorHAnsi"/>
              </w:rPr>
              <w:t xml:space="preserve"> </w:t>
            </w:r>
            <w:r w:rsidRPr="003B1B4D">
              <w:rPr>
                <w:rFonts w:cstheme="minorHAnsi"/>
              </w:rPr>
              <w:t xml:space="preserve"> Provide professional development that advances the contribution of College personnel in achieving the College mission. </w:t>
            </w:r>
          </w:p>
          <w:p w14:paraId="3DA6D46B" w14:textId="3B18A633" w:rsidR="00843E27" w:rsidRDefault="00843E27" w:rsidP="003B1B4D">
            <w:pPr>
              <w:tabs>
                <w:tab w:val="left" w:pos="700"/>
              </w:tabs>
              <w:spacing w:before="64"/>
              <w:rPr>
                <w:rFonts w:cstheme="minorHAnsi"/>
              </w:rPr>
            </w:pPr>
            <w:r w:rsidRPr="006E40C9">
              <w:rPr>
                <w:rFonts w:cstheme="minorHAnsi"/>
                <w:b w:val="0"/>
              </w:rPr>
              <w:t>College Goal 4</w:t>
            </w:r>
            <w:r w:rsidRPr="003B1B4D">
              <w:rPr>
                <w:rFonts w:cstheme="minorHAnsi"/>
              </w:rPr>
              <w:t xml:space="preserve"> - Sustain Effective Collaboration: </w:t>
            </w:r>
            <w:r w:rsidR="00CC10F3">
              <w:rPr>
                <w:rFonts w:cstheme="minorHAnsi"/>
              </w:rPr>
              <w:t xml:space="preserve"> </w:t>
            </w:r>
            <w:r w:rsidRPr="003B1B4D">
              <w:rPr>
                <w:rFonts w:cstheme="minorHAnsi"/>
              </w:rPr>
              <w:t>Sustain effective participatory governance and decision-making to ensure that the direction of the College is well informed and collectively implemented.</w:t>
            </w:r>
          </w:p>
          <w:p w14:paraId="442FE224" w14:textId="77777777" w:rsidR="006B44ED" w:rsidRPr="009C7866" w:rsidRDefault="006B44ED" w:rsidP="003B1B4D">
            <w:pPr>
              <w:tabs>
                <w:tab w:val="left" w:pos="700"/>
              </w:tabs>
              <w:spacing w:before="64"/>
              <w:rPr>
                <w:rFonts w:cstheme="minorHAnsi"/>
              </w:rPr>
            </w:pPr>
          </w:p>
        </w:tc>
        <w:tc>
          <w:tcPr>
            <w:tcW w:w="2404" w:type="pct"/>
          </w:tcPr>
          <w:p w14:paraId="7C034DAD" w14:textId="247D622A" w:rsidR="00843E27" w:rsidRDefault="00843E27" w:rsidP="00ED37AC">
            <w:pPr>
              <w:pStyle w:val="ListParagraph"/>
              <w:numPr>
                <w:ilvl w:val="0"/>
                <w:numId w:val="9"/>
              </w:numPr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D37AC">
              <w:rPr>
                <w:rFonts w:cstheme="minorHAnsi"/>
              </w:rPr>
              <w:t xml:space="preserve">Mt. SAC will increase the number of completed </w:t>
            </w:r>
            <w:r w:rsidR="004B7618" w:rsidRPr="00ED37AC">
              <w:rPr>
                <w:rFonts w:cstheme="minorHAnsi"/>
              </w:rPr>
              <w:t>Associate Degree for Transfer (</w:t>
            </w:r>
            <w:r w:rsidRPr="00ED37AC">
              <w:rPr>
                <w:rFonts w:cstheme="minorHAnsi"/>
              </w:rPr>
              <w:t>ADT</w:t>
            </w:r>
            <w:r w:rsidR="004B7618" w:rsidRPr="00ED37AC">
              <w:rPr>
                <w:rFonts w:cstheme="minorHAnsi"/>
              </w:rPr>
              <w:t>)</w:t>
            </w:r>
            <w:r w:rsidRPr="00ED37AC">
              <w:rPr>
                <w:rFonts w:cstheme="minorHAnsi"/>
              </w:rPr>
              <w:t xml:space="preserve"> degrees from </w:t>
            </w:r>
            <w:r w:rsidRPr="00BC660F">
              <w:rPr>
                <w:rFonts w:cstheme="minorHAnsi"/>
                <w:b/>
                <w:strike/>
                <w:color w:val="FF0000"/>
              </w:rPr>
              <w:t>549</w:t>
            </w:r>
            <w:r w:rsidR="00BC660F" w:rsidRPr="00BC660F">
              <w:rPr>
                <w:rFonts w:cstheme="minorHAnsi"/>
                <w:b/>
                <w:color w:val="FF0000"/>
              </w:rPr>
              <w:t xml:space="preserve"> </w:t>
            </w:r>
            <w:r w:rsidR="00BC660F">
              <w:rPr>
                <w:rFonts w:cstheme="minorHAnsi"/>
                <w:b/>
              </w:rPr>
              <w:t>516</w:t>
            </w:r>
            <w:r w:rsidRPr="00ED37AC">
              <w:rPr>
                <w:rFonts w:cstheme="minorHAnsi"/>
              </w:rPr>
              <w:t xml:space="preserve"> in 2016-17 to </w:t>
            </w:r>
            <w:r w:rsidR="00821EBB" w:rsidRPr="00BC660F">
              <w:rPr>
                <w:rFonts w:cstheme="minorHAnsi"/>
                <w:b/>
                <w:strike/>
                <w:color w:val="FF0000"/>
              </w:rPr>
              <w:t>648</w:t>
            </w:r>
            <w:r w:rsidR="00BC660F" w:rsidRPr="00BC660F">
              <w:rPr>
                <w:rFonts w:cstheme="minorHAnsi"/>
                <w:b/>
                <w:color w:val="FF0000"/>
              </w:rPr>
              <w:t xml:space="preserve"> </w:t>
            </w:r>
            <w:r w:rsidR="00BC660F">
              <w:rPr>
                <w:rFonts w:cstheme="minorHAnsi"/>
                <w:b/>
              </w:rPr>
              <w:t>609</w:t>
            </w:r>
            <w:r w:rsidRPr="00821EBB">
              <w:rPr>
                <w:rFonts w:cstheme="minorHAnsi"/>
              </w:rPr>
              <w:t xml:space="preserve"> </w:t>
            </w:r>
            <w:r w:rsidRPr="00ED37AC">
              <w:rPr>
                <w:rFonts w:cstheme="minorHAnsi"/>
              </w:rPr>
              <w:t xml:space="preserve">in 2021-22, an increase of </w:t>
            </w:r>
            <w:r w:rsidRPr="002F05DB">
              <w:rPr>
                <w:rFonts w:cstheme="minorHAnsi"/>
                <w:b/>
              </w:rPr>
              <w:t>18 percent</w:t>
            </w:r>
            <w:r w:rsidRPr="00ED37AC">
              <w:rPr>
                <w:rFonts w:cstheme="minorHAnsi"/>
              </w:rPr>
              <w:t xml:space="preserve">. </w:t>
            </w:r>
          </w:p>
          <w:p w14:paraId="3DFBD616" w14:textId="4B6D1AAC" w:rsidR="00843E27" w:rsidRDefault="00843E27" w:rsidP="00A645CA">
            <w:pPr>
              <w:pStyle w:val="ListParagraph"/>
              <w:numPr>
                <w:ilvl w:val="0"/>
                <w:numId w:val="9"/>
              </w:numPr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D37AC">
              <w:rPr>
                <w:rFonts w:cstheme="minorHAnsi"/>
              </w:rPr>
              <w:t xml:space="preserve">Mt. SAC will increase the number of transfers to </w:t>
            </w:r>
            <w:r w:rsidR="00A645CA" w:rsidRPr="00A645CA">
              <w:rPr>
                <w:rFonts w:cstheme="minorHAnsi"/>
              </w:rPr>
              <w:t xml:space="preserve">a </w:t>
            </w:r>
            <w:r w:rsidR="00A645CA">
              <w:rPr>
                <w:rFonts w:cstheme="minorHAnsi"/>
                <w:u w:val="single"/>
              </w:rPr>
              <w:t>CSU or UC</w:t>
            </w:r>
            <w:r w:rsidRPr="00ED37AC">
              <w:rPr>
                <w:rFonts w:cstheme="minorHAnsi"/>
              </w:rPr>
              <w:t xml:space="preserve"> from </w:t>
            </w:r>
            <w:r w:rsidRPr="00A645CA">
              <w:rPr>
                <w:rFonts w:cstheme="minorHAnsi"/>
                <w:b/>
                <w:strike/>
                <w:color w:val="FF0000"/>
              </w:rPr>
              <w:t>1</w:t>
            </w:r>
            <w:r w:rsidR="00977DFF" w:rsidRPr="00A645CA">
              <w:rPr>
                <w:rFonts w:cstheme="minorHAnsi"/>
                <w:b/>
                <w:strike/>
                <w:color w:val="FF0000"/>
              </w:rPr>
              <w:t>,</w:t>
            </w:r>
            <w:r w:rsidRPr="00A645CA">
              <w:rPr>
                <w:rFonts w:cstheme="minorHAnsi"/>
                <w:b/>
                <w:strike/>
                <w:color w:val="FF0000"/>
              </w:rPr>
              <w:t>859</w:t>
            </w:r>
            <w:r w:rsidR="00A645CA" w:rsidRPr="00A645CA">
              <w:rPr>
                <w:rFonts w:cstheme="minorHAnsi"/>
                <w:b/>
                <w:color w:val="FF0000"/>
              </w:rPr>
              <w:t xml:space="preserve"> </w:t>
            </w:r>
            <w:r w:rsidR="00A645CA">
              <w:rPr>
                <w:rFonts w:cstheme="minorHAnsi"/>
                <w:b/>
              </w:rPr>
              <w:t>1,905</w:t>
            </w:r>
            <w:r w:rsidRPr="00ED37AC">
              <w:rPr>
                <w:rFonts w:cstheme="minorHAnsi"/>
              </w:rPr>
              <w:t xml:space="preserve"> in 2016-17</w:t>
            </w:r>
            <w:r w:rsidR="007F1243">
              <w:rPr>
                <w:rFonts w:cstheme="minorHAnsi"/>
              </w:rPr>
              <w:t xml:space="preserve"> (</w:t>
            </w:r>
            <w:r w:rsidR="007F1243" w:rsidRPr="007F1243">
              <w:rPr>
                <w:rFonts w:cstheme="minorHAnsi"/>
                <w:highlight w:val="yellow"/>
              </w:rPr>
              <w:t>Why 1904 in NOVA?]</w:t>
            </w:r>
            <w:r w:rsidRPr="00ED37AC">
              <w:rPr>
                <w:rFonts w:cstheme="minorHAnsi"/>
              </w:rPr>
              <w:t xml:space="preserve"> to </w:t>
            </w:r>
            <w:r w:rsidRPr="00A645CA">
              <w:rPr>
                <w:rFonts w:cstheme="minorHAnsi"/>
                <w:b/>
                <w:strike/>
                <w:color w:val="FF0000"/>
              </w:rPr>
              <w:t>2</w:t>
            </w:r>
            <w:r w:rsidR="00977DFF" w:rsidRPr="00A645CA">
              <w:rPr>
                <w:rFonts w:cstheme="minorHAnsi"/>
                <w:b/>
                <w:strike/>
                <w:color w:val="FF0000"/>
              </w:rPr>
              <w:t>,</w:t>
            </w:r>
            <w:r w:rsidRPr="00A645CA">
              <w:rPr>
                <w:rFonts w:cstheme="minorHAnsi"/>
                <w:b/>
                <w:strike/>
                <w:color w:val="FF0000"/>
              </w:rPr>
              <w:t>045</w:t>
            </w:r>
            <w:r w:rsidR="00A645CA" w:rsidRPr="00A645CA">
              <w:rPr>
                <w:rFonts w:cstheme="minorHAnsi"/>
                <w:b/>
                <w:strike/>
                <w:color w:val="FF0000"/>
              </w:rPr>
              <w:t xml:space="preserve"> </w:t>
            </w:r>
            <w:r w:rsidR="00963342">
              <w:rPr>
                <w:rFonts w:cstheme="minorHAnsi"/>
                <w:b/>
              </w:rPr>
              <w:t>2,096</w:t>
            </w:r>
            <w:r w:rsidRPr="00ED37AC">
              <w:rPr>
                <w:rFonts w:cstheme="minorHAnsi"/>
                <w:color w:val="FF0000"/>
              </w:rPr>
              <w:t xml:space="preserve"> </w:t>
            </w:r>
            <w:r w:rsidRPr="00ED37AC">
              <w:rPr>
                <w:rFonts w:cstheme="minorHAnsi"/>
              </w:rPr>
              <w:t xml:space="preserve">in 2021-22, an increase of </w:t>
            </w:r>
            <w:r w:rsidRPr="002F05DB">
              <w:rPr>
                <w:rFonts w:cstheme="minorHAnsi"/>
                <w:b/>
              </w:rPr>
              <w:t>10 percent</w:t>
            </w:r>
            <w:r w:rsidRPr="00ED37AC">
              <w:rPr>
                <w:rFonts w:cstheme="minorHAnsi"/>
              </w:rPr>
              <w:t>.</w:t>
            </w:r>
            <w:r w:rsidR="00CC10F3">
              <w:rPr>
                <w:rFonts w:cstheme="minorHAnsi"/>
              </w:rPr>
              <w:t xml:space="preserve"> </w:t>
            </w:r>
            <w:r w:rsidRPr="00ED37AC">
              <w:rPr>
                <w:rFonts w:cstheme="minorHAnsi"/>
              </w:rPr>
              <w:t xml:space="preserve"> </w:t>
            </w:r>
            <w:r w:rsidR="00140A70" w:rsidRPr="00ED37AC">
              <w:rPr>
                <w:rFonts w:cstheme="minorHAnsi"/>
                <w:i/>
              </w:rPr>
              <w:t xml:space="preserve">(Accreditation: Institution-set Standards </w:t>
            </w:r>
            <w:r w:rsidR="00CC10F3">
              <w:rPr>
                <w:rFonts w:cstheme="minorHAnsi"/>
                <w:i/>
              </w:rPr>
              <w:t>[</w:t>
            </w:r>
            <w:r w:rsidR="00140A70" w:rsidRPr="00ED37AC">
              <w:rPr>
                <w:rFonts w:cstheme="minorHAnsi"/>
                <w:i/>
              </w:rPr>
              <w:t>ISS</w:t>
            </w:r>
            <w:r w:rsidR="00CC10F3">
              <w:rPr>
                <w:rFonts w:cstheme="minorHAnsi"/>
                <w:i/>
              </w:rPr>
              <w:t>]</w:t>
            </w:r>
            <w:r w:rsidR="00140A70" w:rsidRPr="00ED37AC">
              <w:rPr>
                <w:rFonts w:cstheme="minorHAnsi"/>
                <w:i/>
              </w:rPr>
              <w:t>)</w:t>
            </w:r>
          </w:p>
          <w:p w14:paraId="4AE32BEE" w14:textId="558A09CF" w:rsidR="00A645CA" w:rsidRDefault="00A645CA" w:rsidP="00A645CA">
            <w:pPr>
              <w:pStyle w:val="ListParagraph"/>
              <w:numPr>
                <w:ilvl w:val="0"/>
                <w:numId w:val="9"/>
              </w:numPr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D37AC">
              <w:rPr>
                <w:rFonts w:cstheme="minorHAnsi"/>
              </w:rPr>
              <w:t xml:space="preserve">Mt. SAC will increase the number of transfers to </w:t>
            </w:r>
            <w:r w:rsidRPr="00A645CA">
              <w:rPr>
                <w:rFonts w:cstheme="minorHAnsi"/>
              </w:rPr>
              <w:t xml:space="preserve">a </w:t>
            </w:r>
            <w:proofErr w:type="gramStart"/>
            <w:r w:rsidRPr="00A645CA">
              <w:rPr>
                <w:rFonts w:cstheme="minorHAnsi"/>
                <w:u w:val="single"/>
              </w:rPr>
              <w:t>Private College</w:t>
            </w:r>
            <w:r>
              <w:rPr>
                <w:rFonts w:cstheme="minorHAnsi"/>
                <w:u w:val="single"/>
              </w:rPr>
              <w:t>s</w:t>
            </w:r>
            <w:r w:rsidRPr="00A645CA">
              <w:rPr>
                <w:rFonts w:cstheme="minorHAnsi"/>
                <w:u w:val="single"/>
              </w:rPr>
              <w:t xml:space="preserve"> In-State</w:t>
            </w:r>
            <w:proofErr w:type="gramEnd"/>
            <w:r>
              <w:rPr>
                <w:rFonts w:cstheme="minorHAnsi"/>
                <w:u w:val="single"/>
              </w:rPr>
              <w:t xml:space="preserve"> </w:t>
            </w:r>
            <w:r w:rsidRPr="00ED37AC">
              <w:rPr>
                <w:rFonts w:cstheme="minorHAnsi"/>
              </w:rPr>
              <w:t xml:space="preserve">from </w:t>
            </w:r>
            <w:r>
              <w:rPr>
                <w:rFonts w:cstheme="minorHAnsi"/>
                <w:b/>
              </w:rPr>
              <w:t xml:space="preserve">479 </w:t>
            </w:r>
            <w:r w:rsidRPr="00ED37AC">
              <w:rPr>
                <w:rFonts w:cstheme="minorHAnsi"/>
              </w:rPr>
              <w:t xml:space="preserve">in 2016-17 to </w:t>
            </w:r>
            <w:r w:rsidR="004C6AC8">
              <w:rPr>
                <w:rFonts w:cstheme="minorHAnsi"/>
                <w:b/>
              </w:rPr>
              <w:t>5</w:t>
            </w:r>
            <w:r w:rsidR="00963342">
              <w:rPr>
                <w:rFonts w:cstheme="minorHAnsi"/>
                <w:b/>
              </w:rPr>
              <w:t>27</w:t>
            </w:r>
            <w:r w:rsidRPr="00ED37AC">
              <w:rPr>
                <w:rFonts w:cstheme="minorHAnsi"/>
                <w:color w:val="FF0000"/>
              </w:rPr>
              <w:t xml:space="preserve"> </w:t>
            </w:r>
            <w:r w:rsidRPr="00ED37AC">
              <w:rPr>
                <w:rFonts w:cstheme="minorHAnsi"/>
              </w:rPr>
              <w:t xml:space="preserve">in 2021-22, an increase of </w:t>
            </w:r>
            <w:r w:rsidRPr="002F05DB">
              <w:rPr>
                <w:rFonts w:cstheme="minorHAnsi"/>
                <w:b/>
              </w:rPr>
              <w:t>10 percent</w:t>
            </w:r>
            <w:r w:rsidRPr="00ED37AC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ED37AC"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>(</w:t>
            </w:r>
            <w:r w:rsidRPr="00BC660F">
              <w:rPr>
                <w:rFonts w:cstheme="minorHAnsi"/>
                <w:i/>
                <w:highlight w:val="yellow"/>
              </w:rPr>
              <w:t>new</w:t>
            </w:r>
            <w:r>
              <w:rPr>
                <w:rFonts w:cstheme="minorHAnsi"/>
                <w:i/>
              </w:rPr>
              <w:t>)</w:t>
            </w:r>
          </w:p>
          <w:p w14:paraId="47100108" w14:textId="668E42C2" w:rsidR="00A645CA" w:rsidRDefault="00A645CA" w:rsidP="00A645CA">
            <w:pPr>
              <w:pStyle w:val="ListParagraph"/>
              <w:numPr>
                <w:ilvl w:val="0"/>
                <w:numId w:val="9"/>
              </w:numPr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D37AC">
              <w:rPr>
                <w:rFonts w:cstheme="minorHAnsi"/>
              </w:rPr>
              <w:t xml:space="preserve">Mt. SAC will increase the number of transfers to </w:t>
            </w:r>
            <w:r w:rsidRPr="00A645CA">
              <w:rPr>
                <w:rFonts w:cstheme="minorHAnsi"/>
              </w:rPr>
              <w:t xml:space="preserve">a </w:t>
            </w:r>
            <w:r w:rsidRPr="00A645CA">
              <w:rPr>
                <w:rFonts w:cstheme="minorHAnsi"/>
                <w:u w:val="single"/>
              </w:rPr>
              <w:t>Private College</w:t>
            </w:r>
            <w:r>
              <w:rPr>
                <w:rFonts w:cstheme="minorHAnsi"/>
                <w:u w:val="single"/>
              </w:rPr>
              <w:t>s</w:t>
            </w:r>
            <w:r w:rsidRPr="00A645CA">
              <w:rPr>
                <w:rFonts w:cstheme="minorHAnsi"/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>Out-of</w:t>
            </w:r>
            <w:r w:rsidRPr="00A645CA">
              <w:rPr>
                <w:rFonts w:cstheme="minorHAnsi"/>
                <w:u w:val="single"/>
              </w:rPr>
              <w:t>-State</w:t>
            </w:r>
            <w:r>
              <w:rPr>
                <w:rFonts w:cstheme="minorHAnsi"/>
                <w:u w:val="single"/>
              </w:rPr>
              <w:t xml:space="preserve"> </w:t>
            </w:r>
            <w:r w:rsidRPr="00ED37AC">
              <w:rPr>
                <w:rFonts w:cstheme="minorHAnsi"/>
              </w:rPr>
              <w:t xml:space="preserve">from </w:t>
            </w:r>
            <w:r w:rsidR="004C6AC8">
              <w:rPr>
                <w:rFonts w:cstheme="minorHAnsi"/>
                <w:b/>
              </w:rPr>
              <w:t>381</w:t>
            </w:r>
            <w:r>
              <w:rPr>
                <w:rFonts w:cstheme="minorHAnsi"/>
                <w:b/>
              </w:rPr>
              <w:t xml:space="preserve"> </w:t>
            </w:r>
            <w:r w:rsidRPr="00ED37AC">
              <w:rPr>
                <w:rFonts w:cstheme="minorHAnsi"/>
              </w:rPr>
              <w:t xml:space="preserve">in 2016-17 to </w:t>
            </w:r>
            <w:r w:rsidR="00963342">
              <w:rPr>
                <w:rFonts w:cstheme="minorHAnsi"/>
                <w:b/>
              </w:rPr>
              <w:t>419</w:t>
            </w:r>
            <w:r w:rsidRPr="00ED37AC">
              <w:rPr>
                <w:rFonts w:cstheme="minorHAnsi"/>
                <w:color w:val="FF0000"/>
              </w:rPr>
              <w:t xml:space="preserve"> </w:t>
            </w:r>
            <w:r w:rsidRPr="00ED37AC">
              <w:rPr>
                <w:rFonts w:cstheme="minorHAnsi"/>
              </w:rPr>
              <w:t xml:space="preserve">in 2021-22, an increase of </w:t>
            </w:r>
            <w:r w:rsidRPr="002F05DB">
              <w:rPr>
                <w:rFonts w:cstheme="minorHAnsi"/>
                <w:b/>
              </w:rPr>
              <w:t>10 percent</w:t>
            </w:r>
            <w:r w:rsidRPr="00ED37AC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ED37AC"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>(</w:t>
            </w:r>
            <w:r w:rsidRPr="00BC660F">
              <w:rPr>
                <w:rFonts w:cstheme="minorHAnsi"/>
                <w:i/>
                <w:highlight w:val="yellow"/>
              </w:rPr>
              <w:t>new</w:t>
            </w:r>
            <w:r>
              <w:rPr>
                <w:rFonts w:cstheme="minorHAnsi"/>
                <w:i/>
              </w:rPr>
              <w:t>)</w:t>
            </w:r>
          </w:p>
          <w:p w14:paraId="25C7D472" w14:textId="174144DF" w:rsidR="00A645CA" w:rsidRPr="007150B0" w:rsidRDefault="00A645CA" w:rsidP="007150B0">
            <w:pPr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43E27" w14:paraId="413ED510" w14:textId="77777777" w:rsidTr="00636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pct"/>
          </w:tcPr>
          <w:p w14:paraId="3EAF91C7" w14:textId="77777777" w:rsidR="00843E27" w:rsidRDefault="00843E27" w:rsidP="00574463">
            <w:pPr>
              <w:pStyle w:val="ListParagraph"/>
              <w:numPr>
                <w:ilvl w:val="0"/>
                <w:numId w:val="2"/>
              </w:numPr>
              <w:tabs>
                <w:tab w:val="left" w:pos="700"/>
              </w:tabs>
              <w:spacing w:before="64"/>
              <w:rPr>
                <w:rFonts w:cstheme="minorHAnsi"/>
              </w:rPr>
            </w:pPr>
            <w:r w:rsidRPr="00892720">
              <w:rPr>
                <w:rFonts w:cstheme="minorHAnsi"/>
                <w:u w:val="single"/>
              </w:rPr>
              <w:t xml:space="preserve">Decrease </w:t>
            </w:r>
            <w:r w:rsidRPr="00892720">
              <w:rPr>
                <w:rFonts w:cstheme="minorHAnsi"/>
              </w:rPr>
              <w:t>the average number of units accumulated</w:t>
            </w:r>
            <w:r w:rsidRPr="00892720">
              <w:rPr>
                <w:rFonts w:cstheme="minorHAnsi"/>
                <w:u w:val="single"/>
              </w:rPr>
              <w:t xml:space="preserve"> </w:t>
            </w:r>
            <w:r w:rsidRPr="00574463">
              <w:rPr>
                <w:rFonts w:cstheme="minorHAnsi"/>
              </w:rPr>
              <w:t>by CCC students earning associate degrees, from approximately 87 t</w:t>
            </w:r>
            <w:r>
              <w:rPr>
                <w:rFonts w:cstheme="minorHAnsi"/>
              </w:rPr>
              <w:t>otal units to 79 total units</w:t>
            </w:r>
            <w:r w:rsidRPr="00574463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(Linked to College Goals 2, 4)</w:t>
            </w:r>
          </w:p>
          <w:p w14:paraId="7078425A" w14:textId="4B65488A" w:rsidR="00843E27" w:rsidRDefault="00843E27" w:rsidP="009D418A">
            <w:pPr>
              <w:tabs>
                <w:tab w:val="left" w:pos="700"/>
              </w:tabs>
              <w:spacing w:before="64"/>
              <w:rPr>
                <w:rFonts w:cstheme="minorHAnsi"/>
              </w:rPr>
            </w:pPr>
            <w:r w:rsidRPr="006E40C9">
              <w:rPr>
                <w:rFonts w:cstheme="minorHAnsi"/>
                <w:b w:val="0"/>
              </w:rPr>
              <w:t>College Goal 2</w:t>
            </w:r>
            <w:r w:rsidRPr="009D418A">
              <w:rPr>
                <w:rFonts w:cstheme="minorHAnsi"/>
              </w:rPr>
              <w:t xml:space="preserve"> - Fiscal Stability: </w:t>
            </w:r>
            <w:r w:rsidR="00CC10F3">
              <w:rPr>
                <w:rFonts w:cstheme="minorHAnsi"/>
              </w:rPr>
              <w:t xml:space="preserve"> </w:t>
            </w:r>
            <w:r w:rsidRPr="009D418A">
              <w:rPr>
                <w:rFonts w:cstheme="minorHAnsi"/>
              </w:rPr>
              <w:t>Ensure fiscal stability and effective and efficient use of resources.</w:t>
            </w:r>
          </w:p>
          <w:p w14:paraId="50966656" w14:textId="75B22974" w:rsidR="00843E27" w:rsidRDefault="00843E27" w:rsidP="009D418A">
            <w:pPr>
              <w:tabs>
                <w:tab w:val="left" w:pos="700"/>
              </w:tabs>
              <w:spacing w:before="64"/>
              <w:rPr>
                <w:rFonts w:cstheme="minorHAnsi"/>
              </w:rPr>
            </w:pPr>
            <w:r w:rsidRPr="006E40C9">
              <w:rPr>
                <w:rFonts w:cstheme="minorHAnsi"/>
                <w:b w:val="0"/>
              </w:rPr>
              <w:t>College Goal 4</w:t>
            </w:r>
            <w:r w:rsidRPr="003B1B4D">
              <w:rPr>
                <w:rFonts w:cstheme="minorHAnsi"/>
              </w:rPr>
              <w:t xml:space="preserve"> - Sustain Effective Collaboration:</w:t>
            </w:r>
            <w:r w:rsidR="00CC10F3">
              <w:rPr>
                <w:rFonts w:cstheme="minorHAnsi"/>
              </w:rPr>
              <w:t xml:space="preserve"> </w:t>
            </w:r>
            <w:r w:rsidRPr="003B1B4D">
              <w:rPr>
                <w:rFonts w:cstheme="minorHAnsi"/>
              </w:rPr>
              <w:t xml:space="preserve"> Sustain effective participatory governance and decision-making to ensure that the direction of the College is well informed and collectively implemented.</w:t>
            </w:r>
          </w:p>
          <w:p w14:paraId="34E0E3F5" w14:textId="77777777" w:rsidR="006B44ED" w:rsidRPr="009D418A" w:rsidRDefault="006B44ED" w:rsidP="009D418A">
            <w:pPr>
              <w:tabs>
                <w:tab w:val="left" w:pos="700"/>
              </w:tabs>
              <w:spacing w:before="64"/>
              <w:rPr>
                <w:rFonts w:cstheme="minorHAnsi"/>
              </w:rPr>
            </w:pPr>
          </w:p>
        </w:tc>
        <w:tc>
          <w:tcPr>
            <w:tcW w:w="2404" w:type="pct"/>
          </w:tcPr>
          <w:p w14:paraId="32960B5E" w14:textId="6D08E0E2" w:rsidR="00843E27" w:rsidRPr="00ED37AC" w:rsidRDefault="00843E27" w:rsidP="00FB0F62">
            <w:pPr>
              <w:pStyle w:val="ListParagraph"/>
              <w:numPr>
                <w:ilvl w:val="0"/>
                <w:numId w:val="10"/>
              </w:numPr>
              <w:tabs>
                <w:tab w:val="left" w:pos="700"/>
              </w:tabs>
              <w:spacing w:before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D37AC">
              <w:rPr>
                <w:rFonts w:cstheme="minorHAnsi"/>
              </w:rPr>
              <w:lastRenderedPageBreak/>
              <w:t xml:space="preserve">Mt. SAC will decrease the average units earned per completed associate degree from </w:t>
            </w:r>
            <w:r w:rsidRPr="00DF6505">
              <w:rPr>
                <w:rFonts w:cstheme="minorHAnsi"/>
                <w:b/>
                <w:strike/>
                <w:color w:val="FF0000"/>
              </w:rPr>
              <w:t>86</w:t>
            </w:r>
            <w:r w:rsidR="00DF6505" w:rsidRPr="00DF6505">
              <w:rPr>
                <w:rFonts w:cstheme="minorHAnsi"/>
                <w:b/>
                <w:color w:val="FF0000"/>
              </w:rPr>
              <w:t xml:space="preserve"> </w:t>
            </w:r>
            <w:r w:rsidR="00DF6505">
              <w:rPr>
                <w:rFonts w:cstheme="minorHAnsi"/>
                <w:b/>
              </w:rPr>
              <w:t>101</w:t>
            </w:r>
            <w:r w:rsidRPr="00ED37AC">
              <w:rPr>
                <w:rFonts w:cstheme="minorHAnsi"/>
              </w:rPr>
              <w:t xml:space="preserve"> in 2016-17 to </w:t>
            </w:r>
            <w:r w:rsidRPr="00DF6505">
              <w:rPr>
                <w:rFonts w:cstheme="minorHAnsi"/>
                <w:b/>
                <w:strike/>
                <w:color w:val="FF0000"/>
              </w:rPr>
              <w:t>83</w:t>
            </w:r>
            <w:r w:rsidRPr="00DF6505">
              <w:rPr>
                <w:rFonts w:cstheme="minorHAnsi"/>
                <w:color w:val="FF0000"/>
              </w:rPr>
              <w:t xml:space="preserve"> </w:t>
            </w:r>
            <w:r w:rsidR="00DF6505" w:rsidRPr="00DF6505">
              <w:rPr>
                <w:rFonts w:cstheme="minorHAnsi"/>
                <w:b/>
              </w:rPr>
              <w:t>98</w:t>
            </w:r>
            <w:r w:rsidR="00DF6505">
              <w:rPr>
                <w:rFonts w:cstheme="minorHAnsi"/>
              </w:rPr>
              <w:t xml:space="preserve"> </w:t>
            </w:r>
            <w:r w:rsidRPr="00ED37AC">
              <w:rPr>
                <w:rFonts w:cstheme="minorHAnsi"/>
              </w:rPr>
              <w:t xml:space="preserve">in 2021-22, a </w:t>
            </w:r>
            <w:r w:rsidRPr="00ED37AC">
              <w:rPr>
                <w:rFonts w:cstheme="minorHAnsi"/>
                <w:u w:val="single"/>
              </w:rPr>
              <w:t>decrease</w:t>
            </w:r>
            <w:r w:rsidRPr="00ED37AC">
              <w:rPr>
                <w:rFonts w:cstheme="minorHAnsi"/>
              </w:rPr>
              <w:t xml:space="preserve"> of </w:t>
            </w:r>
            <w:r w:rsidR="00FB0F62" w:rsidRPr="002F05DB">
              <w:rPr>
                <w:rFonts w:cstheme="minorHAnsi"/>
                <w:b/>
              </w:rPr>
              <w:t>3</w:t>
            </w:r>
            <w:r w:rsidRPr="002F05DB">
              <w:rPr>
                <w:rFonts w:cstheme="minorHAnsi"/>
                <w:b/>
              </w:rPr>
              <w:t xml:space="preserve"> percent</w:t>
            </w:r>
            <w:r w:rsidRPr="00ED37AC">
              <w:rPr>
                <w:rFonts w:cstheme="minorHAnsi"/>
              </w:rPr>
              <w:t xml:space="preserve">. </w:t>
            </w:r>
          </w:p>
        </w:tc>
      </w:tr>
      <w:tr w:rsidR="00843E27" w14:paraId="5BAAF37D" w14:textId="77777777" w:rsidTr="00636F30">
        <w:trPr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pct"/>
          </w:tcPr>
          <w:p w14:paraId="22809E55" w14:textId="4EED446C" w:rsidR="00843E27" w:rsidRDefault="00843E27" w:rsidP="00190370">
            <w:pPr>
              <w:pStyle w:val="ListParagraph"/>
              <w:numPr>
                <w:ilvl w:val="0"/>
                <w:numId w:val="2"/>
              </w:numPr>
              <w:tabs>
                <w:tab w:val="left" w:pos="700"/>
              </w:tabs>
              <w:spacing w:before="64"/>
              <w:rPr>
                <w:rFonts w:cstheme="minorHAnsi"/>
              </w:rPr>
            </w:pPr>
            <w:r w:rsidRPr="00892720">
              <w:rPr>
                <w:rFonts w:cstheme="minorHAnsi"/>
                <w:u w:val="single"/>
              </w:rPr>
              <w:t>Increase</w:t>
            </w:r>
            <w:r w:rsidRPr="00574463">
              <w:rPr>
                <w:rFonts w:cstheme="minorHAnsi"/>
              </w:rPr>
              <w:t xml:space="preserve"> the percent of exiting students who report being employed in their field</w:t>
            </w:r>
            <w:r>
              <w:rPr>
                <w:rFonts w:cstheme="minorHAnsi"/>
              </w:rPr>
              <w:t xml:space="preserve"> </w:t>
            </w:r>
            <w:r w:rsidRPr="00F90164">
              <w:rPr>
                <w:rFonts w:cstheme="minorHAnsi"/>
              </w:rPr>
              <w:t>of study, from the most recent statewide average of 69 percent to 76 pe</w:t>
            </w:r>
            <w:r>
              <w:rPr>
                <w:rFonts w:cstheme="minorHAnsi"/>
              </w:rPr>
              <w:t xml:space="preserve">rcent. </w:t>
            </w:r>
            <w:r w:rsidR="00CC10F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(Linked to College Goals 4, 5)</w:t>
            </w:r>
          </w:p>
          <w:p w14:paraId="3B46DC59" w14:textId="7F66B1AE" w:rsidR="00843E27" w:rsidRPr="009D418A" w:rsidRDefault="00843E27" w:rsidP="009D418A">
            <w:pPr>
              <w:tabs>
                <w:tab w:val="left" w:pos="700"/>
              </w:tabs>
              <w:spacing w:before="64"/>
              <w:rPr>
                <w:rFonts w:cstheme="minorHAnsi"/>
              </w:rPr>
            </w:pPr>
            <w:r w:rsidRPr="006E40C9">
              <w:rPr>
                <w:rFonts w:cstheme="minorHAnsi"/>
                <w:b w:val="0"/>
              </w:rPr>
              <w:t>College Goal 4</w:t>
            </w:r>
            <w:r w:rsidRPr="009D418A">
              <w:rPr>
                <w:rFonts w:cstheme="minorHAnsi"/>
              </w:rPr>
              <w:t xml:space="preserve"> - Sustain Effective Collaboration: </w:t>
            </w:r>
            <w:r w:rsidR="00CC10F3">
              <w:rPr>
                <w:rFonts w:cstheme="minorHAnsi"/>
              </w:rPr>
              <w:t xml:space="preserve"> </w:t>
            </w:r>
            <w:r w:rsidRPr="009D418A">
              <w:rPr>
                <w:rFonts w:cstheme="minorHAnsi"/>
              </w:rPr>
              <w:t xml:space="preserve">Sustain effective participatory governance and decision-making to ensure that the direction of the College is well informed and collectively implemented. </w:t>
            </w:r>
          </w:p>
          <w:p w14:paraId="28802863" w14:textId="77777777" w:rsidR="00843E27" w:rsidRPr="009D418A" w:rsidRDefault="00843E27" w:rsidP="009D418A">
            <w:pPr>
              <w:tabs>
                <w:tab w:val="left" w:pos="700"/>
              </w:tabs>
              <w:spacing w:before="64"/>
              <w:rPr>
                <w:rFonts w:cstheme="minorHAnsi"/>
              </w:rPr>
            </w:pPr>
            <w:r w:rsidRPr="006E40C9">
              <w:rPr>
                <w:rFonts w:cstheme="minorHAnsi"/>
                <w:b w:val="0"/>
              </w:rPr>
              <w:t>College Goal 5</w:t>
            </w:r>
            <w:r w:rsidRPr="009D418A">
              <w:rPr>
                <w:rFonts w:cstheme="minorHAnsi"/>
              </w:rPr>
              <w:t xml:space="preserve"> - Access, Equity, &amp; Completion: Ensure access, equity, and completion of educational goals for all current and future Mt. SAC students.</w:t>
            </w:r>
          </w:p>
        </w:tc>
        <w:tc>
          <w:tcPr>
            <w:tcW w:w="2404" w:type="pct"/>
          </w:tcPr>
          <w:p w14:paraId="579A2093" w14:textId="517E44CA" w:rsidR="00843E27" w:rsidRDefault="00843E27" w:rsidP="00ED37AC">
            <w:pPr>
              <w:pStyle w:val="ListParagraph"/>
              <w:numPr>
                <w:ilvl w:val="0"/>
                <w:numId w:val="10"/>
              </w:numPr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D37AC">
              <w:rPr>
                <w:rFonts w:cstheme="minorHAnsi"/>
              </w:rPr>
              <w:t xml:space="preserve">Mt. SAC will increase the percent of exiting CTE students who report </w:t>
            </w:r>
            <w:proofErr w:type="gramStart"/>
            <w:r w:rsidRPr="00ED37AC">
              <w:rPr>
                <w:rFonts w:cstheme="minorHAnsi"/>
              </w:rPr>
              <w:t>being employed</w:t>
            </w:r>
            <w:proofErr w:type="gramEnd"/>
            <w:r w:rsidRPr="00ED37AC">
              <w:rPr>
                <w:rFonts w:cstheme="minorHAnsi"/>
              </w:rPr>
              <w:t xml:space="preserve"> in their field of study from </w:t>
            </w:r>
            <w:r w:rsidRPr="00AD783B">
              <w:rPr>
                <w:rFonts w:cstheme="minorHAnsi"/>
                <w:b/>
                <w:strike/>
                <w:color w:val="FF0000"/>
              </w:rPr>
              <w:t>77%</w:t>
            </w:r>
            <w:r w:rsidR="00AD783B" w:rsidRPr="00AD783B">
              <w:rPr>
                <w:rFonts w:cstheme="minorHAnsi"/>
                <w:b/>
                <w:color w:val="FF0000"/>
              </w:rPr>
              <w:t xml:space="preserve"> </w:t>
            </w:r>
            <w:r w:rsidR="00AD783B">
              <w:rPr>
                <w:rFonts w:cstheme="minorHAnsi"/>
                <w:b/>
              </w:rPr>
              <w:t>78%</w:t>
            </w:r>
            <w:r w:rsidRPr="00C027CE">
              <w:rPr>
                <w:rFonts w:cstheme="minorHAnsi"/>
                <w:b/>
              </w:rPr>
              <w:t xml:space="preserve"> in 2015-16</w:t>
            </w:r>
            <w:r w:rsidRPr="00ED37AC">
              <w:rPr>
                <w:rFonts w:cstheme="minorHAnsi"/>
              </w:rPr>
              <w:t xml:space="preserve"> to </w:t>
            </w:r>
            <w:r w:rsidRPr="00987E0E">
              <w:rPr>
                <w:rFonts w:cstheme="minorHAnsi"/>
                <w:b/>
                <w:strike/>
                <w:color w:val="FF0000"/>
              </w:rPr>
              <w:t>80</w:t>
            </w:r>
            <w:r w:rsidR="00987E0E" w:rsidRPr="00987E0E">
              <w:rPr>
                <w:rFonts w:cstheme="minorHAnsi"/>
                <w:b/>
                <w:strike/>
                <w:color w:val="FF0000"/>
              </w:rPr>
              <w:t>%</w:t>
            </w:r>
            <w:r w:rsidR="00987E0E" w:rsidRPr="00987E0E">
              <w:rPr>
                <w:rFonts w:cstheme="minorHAnsi"/>
                <w:b/>
                <w:color w:val="FF0000"/>
              </w:rPr>
              <w:t xml:space="preserve"> </w:t>
            </w:r>
            <w:r w:rsidR="00987E0E">
              <w:rPr>
                <w:rFonts w:cstheme="minorHAnsi"/>
                <w:b/>
              </w:rPr>
              <w:t>81%</w:t>
            </w:r>
            <w:r w:rsidRPr="00C027CE">
              <w:rPr>
                <w:rFonts w:cstheme="minorHAnsi"/>
              </w:rPr>
              <w:t xml:space="preserve"> percent</w:t>
            </w:r>
            <w:r w:rsidRPr="00ED37AC">
              <w:rPr>
                <w:rFonts w:cstheme="minorHAnsi"/>
              </w:rPr>
              <w:t xml:space="preserve"> in 2021-22, an increase of </w:t>
            </w:r>
            <w:r w:rsidRPr="00C027CE">
              <w:rPr>
                <w:rFonts w:cstheme="minorHAnsi"/>
                <w:b/>
              </w:rPr>
              <w:t>4 percent</w:t>
            </w:r>
            <w:r w:rsidRPr="00ED37AC">
              <w:rPr>
                <w:rFonts w:cstheme="minorHAnsi"/>
              </w:rPr>
              <w:t>.</w:t>
            </w:r>
            <w:r w:rsidR="0035694E">
              <w:rPr>
                <w:rFonts w:cstheme="minorHAnsi"/>
              </w:rPr>
              <w:t xml:space="preserve"> (</w:t>
            </w:r>
            <w:r w:rsidR="0035694E" w:rsidRPr="0035694E">
              <w:rPr>
                <w:rFonts w:cstheme="minorHAnsi"/>
                <w:highlight w:val="yellow"/>
              </w:rPr>
              <w:t>NOVA may still be pointing to 2014-15 instead of 2015-</w:t>
            </w:r>
            <w:proofErr w:type="gramStart"/>
            <w:r w:rsidR="0035694E" w:rsidRPr="0035694E">
              <w:rPr>
                <w:rFonts w:cstheme="minorHAnsi"/>
                <w:highlight w:val="yellow"/>
              </w:rPr>
              <w:t>16?</w:t>
            </w:r>
            <w:proofErr w:type="gramEnd"/>
            <w:r w:rsidR="0035694E" w:rsidRPr="0035694E">
              <w:rPr>
                <w:rFonts w:cstheme="minorHAnsi"/>
                <w:highlight w:val="yellow"/>
              </w:rPr>
              <w:t>)</w:t>
            </w:r>
          </w:p>
          <w:p w14:paraId="33C8857F" w14:textId="77777777" w:rsidR="00C94436" w:rsidRPr="00A91DEC" w:rsidRDefault="00C94436" w:rsidP="00A91DEC">
            <w:pPr>
              <w:tabs>
                <w:tab w:val="left" w:pos="700"/>
              </w:tabs>
              <w:spacing w:before="64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DF78431" w14:textId="378C1610" w:rsidR="00C94436" w:rsidRDefault="00C94436" w:rsidP="00C94436">
            <w:pPr>
              <w:pStyle w:val="ListParagraph"/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4373171" w14:textId="31982C4E" w:rsidR="00C94436" w:rsidRDefault="00C94436" w:rsidP="00C94436">
            <w:pPr>
              <w:pStyle w:val="ListParagraph"/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C94436">
              <w:rPr>
                <w:rFonts w:cstheme="minorHAnsi"/>
                <w:highlight w:val="yellow"/>
              </w:rPr>
              <w:t xml:space="preserve">Data for these </w:t>
            </w:r>
            <w:r w:rsidR="00A91DEC">
              <w:rPr>
                <w:rFonts w:cstheme="minorHAnsi"/>
                <w:highlight w:val="yellow"/>
              </w:rPr>
              <w:t xml:space="preserve">are awaiting new data in </w:t>
            </w:r>
            <w:r w:rsidRPr="00C94436">
              <w:rPr>
                <w:rFonts w:cstheme="minorHAnsi"/>
                <w:highlight w:val="yellow"/>
              </w:rPr>
              <w:t>Student Success Metrics Dashboard, but are in NOVA</w:t>
            </w:r>
            <w:r>
              <w:rPr>
                <w:rFonts w:cstheme="minorHAnsi"/>
                <w:highlight w:val="yellow"/>
              </w:rPr>
              <w:t xml:space="preserve"> </w:t>
            </w:r>
            <w:r w:rsidR="00A91DEC">
              <w:rPr>
                <w:rFonts w:cstheme="minorHAnsi"/>
                <w:highlight w:val="yellow"/>
              </w:rPr>
              <w:t xml:space="preserve">as </w:t>
            </w:r>
            <w:r>
              <w:rPr>
                <w:rFonts w:cstheme="minorHAnsi"/>
                <w:highlight w:val="yellow"/>
              </w:rPr>
              <w:t>BLANK</w:t>
            </w:r>
            <w:r w:rsidRPr="00C94436">
              <w:rPr>
                <w:rFonts w:cstheme="minorHAnsi"/>
                <w:highlight w:val="yellow"/>
              </w:rPr>
              <w:t>...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4EE09399" w14:textId="154C5F7A" w:rsidR="00843E27" w:rsidRDefault="00843E27" w:rsidP="00ED37AC">
            <w:pPr>
              <w:pStyle w:val="ListParagraph"/>
              <w:numPr>
                <w:ilvl w:val="0"/>
                <w:numId w:val="10"/>
              </w:numPr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D37AC">
              <w:rPr>
                <w:rFonts w:cstheme="minorHAnsi"/>
              </w:rPr>
              <w:t xml:space="preserve">Mt. SAC will increase the number of exiting students earning a living wage from </w:t>
            </w:r>
            <w:r w:rsidRPr="00A262D7">
              <w:rPr>
                <w:rFonts w:cstheme="minorHAnsi"/>
                <w:b/>
              </w:rPr>
              <w:t>26% in</w:t>
            </w:r>
            <w:r w:rsidRPr="00A262D7">
              <w:rPr>
                <w:rFonts w:cstheme="minorHAnsi"/>
              </w:rPr>
              <w:t xml:space="preserve"> </w:t>
            </w:r>
            <w:r w:rsidRPr="00C027CE">
              <w:rPr>
                <w:rFonts w:cstheme="minorHAnsi"/>
                <w:b/>
              </w:rPr>
              <w:t>2015-16</w:t>
            </w:r>
            <w:r w:rsidRPr="00ED37AC">
              <w:rPr>
                <w:rFonts w:cstheme="minorHAnsi"/>
              </w:rPr>
              <w:t xml:space="preserve"> to </w:t>
            </w:r>
            <w:r w:rsidRPr="00C027CE">
              <w:rPr>
                <w:rFonts w:cstheme="minorHAnsi"/>
                <w:b/>
              </w:rPr>
              <w:t>28.6%</w:t>
            </w:r>
            <w:r w:rsidRPr="00ED37AC">
              <w:rPr>
                <w:rFonts w:cstheme="minorHAnsi"/>
              </w:rPr>
              <w:t xml:space="preserve"> in 2021-22, an increase of </w:t>
            </w:r>
            <w:r w:rsidRPr="00C027CE">
              <w:rPr>
                <w:rFonts w:cstheme="minorHAnsi"/>
                <w:b/>
              </w:rPr>
              <w:t>10 percent</w:t>
            </w:r>
            <w:r w:rsidRPr="00ED37AC">
              <w:rPr>
                <w:rFonts w:cstheme="minorHAnsi"/>
              </w:rPr>
              <w:t xml:space="preserve">. </w:t>
            </w:r>
          </w:p>
          <w:p w14:paraId="188B3983" w14:textId="77777777" w:rsidR="00843E27" w:rsidRPr="00ED37AC" w:rsidRDefault="00843E27" w:rsidP="00ED37AC">
            <w:pPr>
              <w:pStyle w:val="ListParagraph"/>
              <w:numPr>
                <w:ilvl w:val="0"/>
                <w:numId w:val="10"/>
              </w:numPr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D37AC">
              <w:rPr>
                <w:rFonts w:cstheme="minorHAnsi"/>
              </w:rPr>
              <w:t xml:space="preserve">Mt. SAC will increase median annual earnings of exiting students from </w:t>
            </w:r>
            <w:r w:rsidRPr="00A262D7">
              <w:rPr>
                <w:rFonts w:cstheme="minorHAnsi"/>
                <w:b/>
              </w:rPr>
              <w:t>$18,817 per year in 2015-16</w:t>
            </w:r>
            <w:r w:rsidRPr="00ED37AC">
              <w:rPr>
                <w:rFonts w:cstheme="minorHAnsi"/>
              </w:rPr>
              <w:t xml:space="preserve"> to </w:t>
            </w:r>
            <w:r w:rsidRPr="00A262D7">
              <w:rPr>
                <w:rFonts w:cstheme="minorHAnsi"/>
                <w:b/>
              </w:rPr>
              <w:t>$20,699</w:t>
            </w:r>
            <w:r w:rsidRPr="00ED37AC">
              <w:rPr>
                <w:rFonts w:cstheme="minorHAnsi"/>
              </w:rPr>
              <w:t xml:space="preserve"> per year in 2021-22, an increase of </w:t>
            </w:r>
            <w:r w:rsidRPr="00A262D7">
              <w:rPr>
                <w:rFonts w:cstheme="minorHAnsi"/>
                <w:b/>
              </w:rPr>
              <w:t>10 percent</w:t>
            </w:r>
            <w:r w:rsidRPr="00ED37AC">
              <w:rPr>
                <w:rFonts w:cstheme="minorHAnsi"/>
              </w:rPr>
              <w:t>.</w:t>
            </w:r>
          </w:p>
          <w:p w14:paraId="302A23C4" w14:textId="77777777" w:rsidR="00F231DB" w:rsidRPr="00CB64D2" w:rsidRDefault="00F231DB" w:rsidP="00190370">
            <w:pPr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B0DAD" w14:paraId="265C2EA2" w14:textId="77777777" w:rsidTr="00636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pct"/>
          </w:tcPr>
          <w:p w14:paraId="484BE1B8" w14:textId="77777777" w:rsidR="00FB0DAD" w:rsidRDefault="00FB0DAD" w:rsidP="009209E2">
            <w:pPr>
              <w:tabs>
                <w:tab w:val="left" w:pos="700"/>
              </w:tabs>
              <w:spacing w:before="64"/>
              <w:rPr>
                <w:rFonts w:cstheme="minorHAnsi"/>
              </w:rPr>
            </w:pPr>
          </w:p>
          <w:p w14:paraId="221F2B7C" w14:textId="21BB673C" w:rsidR="00672CBF" w:rsidRDefault="00FB0DAD" w:rsidP="00995329">
            <w:pPr>
              <w:pStyle w:val="ListParagraph"/>
              <w:numPr>
                <w:ilvl w:val="0"/>
                <w:numId w:val="2"/>
              </w:numPr>
              <w:tabs>
                <w:tab w:val="left" w:pos="700"/>
              </w:tabs>
              <w:spacing w:before="64"/>
              <w:rPr>
                <w:rFonts w:cstheme="minorHAnsi"/>
              </w:rPr>
            </w:pPr>
            <w:r w:rsidRPr="00995329">
              <w:rPr>
                <w:rFonts w:cstheme="minorHAnsi"/>
              </w:rPr>
              <w:t xml:space="preserve">Equity: </w:t>
            </w:r>
            <w:r w:rsidR="00CC10F3">
              <w:rPr>
                <w:rFonts w:cstheme="minorHAnsi"/>
              </w:rPr>
              <w:t xml:space="preserve"> </w:t>
            </w:r>
            <w:r w:rsidRPr="00995329">
              <w:rPr>
                <w:rFonts w:cstheme="minorHAnsi"/>
              </w:rPr>
              <w:t>Reduce equity gaps across all of the above measures through faster improvements among traditionally underrepresented student groups, with the goal of cutting achievement gaps by 40 percent within 5 years and fully closing those achievement gaps for good within 10 years.  (Linked to College Goal 5)</w:t>
            </w:r>
            <w:r>
              <w:rPr>
                <w:rFonts w:cstheme="minorHAnsi"/>
              </w:rPr>
              <w:t xml:space="preserve"> </w:t>
            </w:r>
          </w:p>
          <w:p w14:paraId="20D3ED25" w14:textId="77777777" w:rsidR="00FB0DAD" w:rsidRDefault="00FB0DAD" w:rsidP="00D606F7">
            <w:pPr>
              <w:tabs>
                <w:tab w:val="left" w:pos="700"/>
              </w:tabs>
              <w:spacing w:before="64"/>
              <w:rPr>
                <w:rFonts w:cstheme="minorHAnsi"/>
              </w:rPr>
            </w:pPr>
            <w:r w:rsidRPr="006E40C9">
              <w:rPr>
                <w:rFonts w:cstheme="minorHAnsi"/>
                <w:b w:val="0"/>
              </w:rPr>
              <w:t>College Goal 5</w:t>
            </w:r>
            <w:r w:rsidRPr="00D606F7">
              <w:rPr>
                <w:rFonts w:cstheme="minorHAnsi"/>
              </w:rPr>
              <w:t xml:space="preserve"> - Access, Equity, &amp; Completion: Ensure access, equity, and completion of educational goals for all current and future Mt. SAC students.</w:t>
            </w:r>
          </w:p>
          <w:p w14:paraId="7D3D67A6" w14:textId="77777777" w:rsidR="00FB0DAD" w:rsidRDefault="00FB0DAD" w:rsidP="00D606F7">
            <w:pPr>
              <w:tabs>
                <w:tab w:val="left" w:pos="700"/>
              </w:tabs>
              <w:spacing w:before="64"/>
              <w:rPr>
                <w:rFonts w:cstheme="minorHAnsi"/>
              </w:rPr>
            </w:pPr>
          </w:p>
          <w:p w14:paraId="37BE48E3" w14:textId="77777777" w:rsidR="00FB0DAD" w:rsidRPr="00F231DB" w:rsidRDefault="00771C2C" w:rsidP="005F1EF3">
            <w:pPr>
              <w:tabs>
                <w:tab w:val="left" w:pos="700"/>
              </w:tabs>
              <w:spacing w:before="64"/>
              <w:rPr>
                <w:rFonts w:cstheme="minorHAnsi"/>
              </w:rPr>
            </w:pPr>
            <w:r w:rsidRPr="00672CBF">
              <w:rPr>
                <w:rFonts w:cstheme="minorHAnsi"/>
              </w:rPr>
              <w:t>(</w:t>
            </w:r>
            <w:r w:rsidRPr="005F1EF3">
              <w:rPr>
                <w:rFonts w:cstheme="minorHAnsi"/>
              </w:rPr>
              <w:t xml:space="preserve">For </w:t>
            </w:r>
            <w:r w:rsidR="005F1EF3" w:rsidRPr="0065525C">
              <w:rPr>
                <w:rFonts w:cstheme="minorHAnsi"/>
                <w:color w:val="70AD47" w:themeColor="accent6"/>
              </w:rPr>
              <w:t>Student Preparation and Success Council (SP&amp;S)</w:t>
            </w:r>
            <w:r w:rsidRPr="0065525C">
              <w:rPr>
                <w:rFonts w:cstheme="minorHAnsi"/>
                <w:color w:val="70AD47" w:themeColor="accent6"/>
              </w:rPr>
              <w:t xml:space="preserve"> </w:t>
            </w:r>
            <w:r w:rsidRPr="005F1EF3">
              <w:rPr>
                <w:rFonts w:cstheme="minorHAnsi"/>
              </w:rPr>
              <w:t>discussions and further goal setting</w:t>
            </w:r>
            <w:r w:rsidRPr="00672CBF">
              <w:rPr>
                <w:rFonts w:cstheme="minorHAnsi"/>
              </w:rPr>
              <w:t>)</w:t>
            </w:r>
          </w:p>
        </w:tc>
        <w:tc>
          <w:tcPr>
            <w:tcW w:w="2404" w:type="pct"/>
          </w:tcPr>
          <w:p w14:paraId="19FEF06D" w14:textId="77777777" w:rsidR="00F146F5" w:rsidRDefault="00F146F5" w:rsidP="00F146F5">
            <w:pPr>
              <w:tabs>
                <w:tab w:val="left" w:pos="700"/>
              </w:tabs>
              <w:spacing w:before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5132E">
              <w:rPr>
                <w:rFonts w:cstheme="minorHAnsi"/>
                <w:b/>
                <w:i/>
              </w:rPr>
              <w:t>[Disaggregated Dat</w:t>
            </w:r>
            <w:r w:rsidR="00C5132E" w:rsidRPr="00C5132E">
              <w:rPr>
                <w:rFonts w:cstheme="minorHAnsi"/>
                <w:b/>
                <w:i/>
              </w:rPr>
              <w:t>a should be available February 15, 2019</w:t>
            </w:r>
            <w:r w:rsidRPr="00C5132E">
              <w:rPr>
                <w:rFonts w:cstheme="minorHAnsi"/>
                <w:i/>
              </w:rPr>
              <w:t>]</w:t>
            </w:r>
            <w:r w:rsidR="00C46599" w:rsidRPr="00C5132E">
              <w:rPr>
                <w:rFonts w:cstheme="minorHAnsi"/>
                <w:i/>
              </w:rPr>
              <w:t xml:space="preserve"> </w:t>
            </w:r>
            <w:r w:rsidRPr="00FC554E">
              <w:rPr>
                <w:rFonts w:cstheme="minorHAnsi"/>
              </w:rPr>
              <w:t>Identify which of your disproportionately impacted groups have data available in the Student Success</w:t>
            </w:r>
            <w:r>
              <w:rPr>
                <w:rFonts w:cstheme="minorHAnsi"/>
              </w:rPr>
              <w:t xml:space="preserve"> </w:t>
            </w:r>
            <w:r w:rsidRPr="00FC554E">
              <w:rPr>
                <w:rFonts w:cstheme="minorHAnsi"/>
              </w:rPr>
              <w:t>Metrics. For each of these groups, please identify a completion goal that envisions a faster rate of</w:t>
            </w:r>
            <w:r>
              <w:rPr>
                <w:rFonts w:cstheme="minorHAnsi"/>
              </w:rPr>
              <w:t xml:space="preserve"> </w:t>
            </w:r>
            <w:r w:rsidRPr="00FC554E">
              <w:rPr>
                <w:rFonts w:cstheme="minorHAnsi"/>
              </w:rPr>
              <w:t>improvement than for your college as a whole.</w:t>
            </w:r>
            <w:r>
              <w:rPr>
                <w:rFonts w:cstheme="minorHAnsi"/>
              </w:rPr>
              <w:t xml:space="preserve"> The link to the Student Success Metrics follows: </w:t>
            </w:r>
          </w:p>
          <w:p w14:paraId="645A55C5" w14:textId="77777777" w:rsidR="00F146F5" w:rsidRDefault="00691CF1" w:rsidP="00F146F5">
            <w:pPr>
              <w:tabs>
                <w:tab w:val="left" w:pos="700"/>
              </w:tabs>
              <w:spacing w:before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" w:tooltip="Link goes to dashboard for all California Community Colleges on Student Success Metrics." w:history="1">
              <w:r w:rsidR="00F146F5" w:rsidRPr="001967DD">
                <w:rPr>
                  <w:rStyle w:val="Hyperlink"/>
                  <w:rFonts w:cstheme="minorHAnsi"/>
                </w:rPr>
                <w:t>https://www.calpassplus.org/LaunchBoard/Student-Success-Metrics.aspx</w:t>
              </w:r>
            </w:hyperlink>
          </w:p>
          <w:p w14:paraId="78994E0A" w14:textId="77777777" w:rsidR="00FB0DAD" w:rsidRPr="00FC554E" w:rsidRDefault="00FB0DAD" w:rsidP="00FC554E">
            <w:pPr>
              <w:tabs>
                <w:tab w:val="left" w:pos="700"/>
              </w:tabs>
              <w:spacing w:before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C554E">
              <w:rPr>
                <w:rFonts w:cstheme="minorHAnsi"/>
              </w:rPr>
              <w:t>Which groups of students at your college have been identified as disproportionately impacted according</w:t>
            </w:r>
            <w:r>
              <w:rPr>
                <w:rFonts w:cstheme="minorHAnsi"/>
              </w:rPr>
              <w:t xml:space="preserve"> </w:t>
            </w:r>
            <w:r w:rsidRPr="00FC554E">
              <w:rPr>
                <w:rFonts w:cstheme="minorHAnsi"/>
              </w:rPr>
              <w:t xml:space="preserve">to the point gap methodology? </w:t>
            </w:r>
            <w:r w:rsidRPr="00C96DE2">
              <w:rPr>
                <w:rFonts w:cstheme="minorHAnsi"/>
                <w:b/>
              </w:rPr>
              <w:t>(Check all that apply.)</w:t>
            </w:r>
            <w:r w:rsidR="00F146F5">
              <w:rPr>
                <w:rFonts w:cstheme="minorHAnsi"/>
              </w:rPr>
              <w:t xml:space="preserve"> </w:t>
            </w:r>
          </w:p>
          <w:p w14:paraId="2C53CFEB" w14:textId="77777777" w:rsidR="00FB0DAD" w:rsidRPr="00C46599" w:rsidRDefault="00FB0DAD" w:rsidP="00F146F5">
            <w:pPr>
              <w:tabs>
                <w:tab w:val="left" w:pos="700"/>
              </w:tabs>
              <w:spacing w:before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C554E">
              <w:rPr>
                <w:rFonts w:cstheme="minorHAnsi"/>
              </w:rPr>
              <w:t xml:space="preserve">• </w:t>
            </w:r>
            <w:r w:rsidRPr="00C96DE2">
              <w:rPr>
                <w:rFonts w:cstheme="minorHAnsi"/>
                <w:b/>
              </w:rPr>
              <w:t>[PROVIDE CHECKLIST</w:t>
            </w:r>
            <w:r w:rsidRPr="00FC554E">
              <w:rPr>
                <w:rFonts w:cstheme="minorHAnsi"/>
              </w:rPr>
              <w:t>]</w:t>
            </w:r>
          </w:p>
        </w:tc>
      </w:tr>
      <w:tr w:rsidR="00FB0DAD" w:rsidRPr="00FC0D2F" w14:paraId="4DE76E83" w14:textId="77777777" w:rsidTr="00636F30">
        <w:trPr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pct"/>
          </w:tcPr>
          <w:p w14:paraId="3975C289" w14:textId="77777777" w:rsidR="00FB0DAD" w:rsidRPr="00B11924" w:rsidRDefault="00FB0DAD" w:rsidP="0019238F">
            <w:pPr>
              <w:tabs>
                <w:tab w:val="left" w:pos="700"/>
              </w:tabs>
              <w:spacing w:before="64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404" w:type="pct"/>
          </w:tcPr>
          <w:p w14:paraId="3E297644" w14:textId="2D9B56D9" w:rsidR="002C544E" w:rsidRPr="002C544E" w:rsidRDefault="002C544E" w:rsidP="002C544E">
            <w:pPr>
              <w:pStyle w:val="ListParagraph"/>
              <w:numPr>
                <w:ilvl w:val="0"/>
                <w:numId w:val="11"/>
              </w:numPr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C544E">
              <w:rPr>
                <w:rFonts w:cstheme="minorHAnsi"/>
              </w:rPr>
              <w:t xml:space="preserve">Mt. SAC will increase the total number of completed associate degrees from </w:t>
            </w:r>
            <w:r w:rsidRPr="002C544E">
              <w:rPr>
                <w:rFonts w:cstheme="minorHAnsi"/>
                <w:b/>
                <w:strike/>
                <w:color w:val="FF0000"/>
              </w:rPr>
              <w:t>2,129</w:t>
            </w:r>
            <w:r w:rsidRPr="002C544E">
              <w:rPr>
                <w:rFonts w:cstheme="minorHAnsi"/>
                <w:b/>
                <w:color w:val="FF0000"/>
              </w:rPr>
              <w:t xml:space="preserve"> </w:t>
            </w:r>
            <w:r w:rsidRPr="002C544E">
              <w:rPr>
                <w:rFonts w:cstheme="minorHAnsi"/>
                <w:b/>
              </w:rPr>
              <w:t>2,062</w:t>
            </w:r>
            <w:r w:rsidRPr="002C544E">
              <w:rPr>
                <w:rFonts w:cstheme="minorHAnsi"/>
              </w:rPr>
              <w:t xml:space="preserve"> in 2016-17 to </w:t>
            </w:r>
            <w:r w:rsidRPr="002C544E">
              <w:rPr>
                <w:rFonts w:cstheme="minorHAnsi"/>
                <w:b/>
                <w:strike/>
                <w:color w:val="FF0000"/>
              </w:rPr>
              <w:t xml:space="preserve">2,214 </w:t>
            </w:r>
            <w:r w:rsidRPr="002C544E">
              <w:rPr>
                <w:rFonts w:cstheme="minorHAnsi"/>
                <w:b/>
              </w:rPr>
              <w:t>2,144</w:t>
            </w:r>
            <w:r w:rsidRPr="002C544E">
              <w:rPr>
                <w:rFonts w:cstheme="minorHAnsi"/>
                <w:color w:val="FF0000"/>
              </w:rPr>
              <w:t xml:space="preserve"> </w:t>
            </w:r>
            <w:r w:rsidRPr="002C544E">
              <w:rPr>
                <w:rFonts w:cstheme="minorHAnsi"/>
              </w:rPr>
              <w:t xml:space="preserve">in 2021-22, an increase of </w:t>
            </w:r>
            <w:r w:rsidRPr="002C544E">
              <w:rPr>
                <w:rFonts w:cstheme="minorHAnsi"/>
                <w:b/>
              </w:rPr>
              <w:t>4 percent</w:t>
            </w:r>
            <w:r w:rsidRPr="002C544E">
              <w:rPr>
                <w:rFonts w:cstheme="minorHAnsi"/>
              </w:rPr>
              <w:t>.  (Institution-set Standards [ISS])</w:t>
            </w:r>
          </w:p>
          <w:p w14:paraId="5EBF9AA4" w14:textId="77777777" w:rsidR="00C46599" w:rsidRDefault="00FB0DAD" w:rsidP="00B24B07">
            <w:pPr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C7866">
              <w:rPr>
                <w:rFonts w:cstheme="minorHAnsi"/>
                <w:b/>
              </w:rPr>
              <w:t>In addition</w:t>
            </w:r>
            <w:r w:rsidRPr="00FC554E">
              <w:rPr>
                <w:rFonts w:cstheme="minorHAnsi"/>
              </w:rPr>
              <w:t xml:space="preserve">, among [DROPDOWN: LIST OF </w:t>
            </w:r>
            <w:r w:rsidR="00437670">
              <w:rPr>
                <w:rFonts w:cstheme="minorHAnsi"/>
              </w:rPr>
              <w:t>Disproportionately Impacted (</w:t>
            </w:r>
            <w:r w:rsidRPr="00FC554E">
              <w:rPr>
                <w:rFonts w:cstheme="minorHAnsi"/>
              </w:rPr>
              <w:t>DI</w:t>
            </w:r>
            <w:r w:rsidR="00437670">
              <w:rPr>
                <w:rFonts w:cstheme="minorHAnsi"/>
              </w:rPr>
              <w:t>)</w:t>
            </w:r>
            <w:r w:rsidRPr="00FC554E">
              <w:rPr>
                <w:rFonts w:cstheme="minorHAnsi"/>
              </w:rPr>
              <w:t xml:space="preserve"> STUDENT GROUPS] students, the number of completed</w:t>
            </w:r>
            <w:r>
              <w:rPr>
                <w:rFonts w:cstheme="minorHAnsi"/>
              </w:rPr>
              <w:t xml:space="preserve"> </w:t>
            </w:r>
            <w:r w:rsidRPr="00FC554E">
              <w:rPr>
                <w:rFonts w:cstheme="minorHAnsi"/>
              </w:rPr>
              <w:t>associate degrees will increase from [</w:t>
            </w:r>
            <w:r w:rsidRPr="00C96DE2">
              <w:rPr>
                <w:rFonts w:cstheme="minorHAnsi"/>
                <w:b/>
              </w:rPr>
              <w:t>NUMBER</w:t>
            </w:r>
            <w:r w:rsidRPr="00FC554E">
              <w:rPr>
                <w:rFonts w:cstheme="minorHAnsi"/>
              </w:rPr>
              <w:t>] in 2016-17 to [</w:t>
            </w:r>
            <w:r w:rsidRPr="00C96DE2">
              <w:rPr>
                <w:rFonts w:cstheme="minorHAnsi"/>
                <w:b/>
              </w:rPr>
              <w:t>NUMBER</w:t>
            </w:r>
            <w:r w:rsidRPr="00FC554E">
              <w:rPr>
                <w:rFonts w:cstheme="minorHAnsi"/>
              </w:rPr>
              <w:t>] in 2021-22, an increase of</w:t>
            </w:r>
            <w:r>
              <w:rPr>
                <w:rFonts w:cstheme="minorHAnsi"/>
              </w:rPr>
              <w:t xml:space="preserve"> </w:t>
            </w:r>
            <w:r w:rsidRPr="00FC554E">
              <w:rPr>
                <w:rFonts w:cstheme="minorHAnsi"/>
              </w:rPr>
              <w:t>[</w:t>
            </w:r>
            <w:r w:rsidRPr="00C96DE2">
              <w:rPr>
                <w:rFonts w:cstheme="minorHAnsi"/>
                <w:b/>
              </w:rPr>
              <w:t>NUMBER</w:t>
            </w:r>
            <w:r w:rsidRPr="00FC554E">
              <w:rPr>
                <w:rFonts w:cstheme="minorHAnsi"/>
              </w:rPr>
              <w:t>] percent.</w:t>
            </w:r>
          </w:p>
          <w:p w14:paraId="35EC8642" w14:textId="6C1AE492" w:rsidR="00FA10B7" w:rsidRPr="00FC0D2F" w:rsidRDefault="00FA10B7" w:rsidP="00B24B07">
            <w:pPr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B0DAD" w:rsidRPr="004446BB" w14:paraId="3FE2B49C" w14:textId="77777777" w:rsidTr="00636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pct"/>
          </w:tcPr>
          <w:p w14:paraId="42877DF1" w14:textId="77777777" w:rsidR="00FB0DAD" w:rsidRPr="00B11924" w:rsidRDefault="00FB0DAD" w:rsidP="005B07FA">
            <w:pPr>
              <w:tabs>
                <w:tab w:val="left" w:pos="700"/>
              </w:tabs>
              <w:spacing w:before="64"/>
              <w:rPr>
                <w:rFonts w:cstheme="minorHAnsi"/>
                <w:b w:val="0"/>
                <w:bCs w:val="0"/>
                <w:sz w:val="40"/>
                <w:szCs w:val="40"/>
              </w:rPr>
            </w:pPr>
          </w:p>
        </w:tc>
        <w:tc>
          <w:tcPr>
            <w:tcW w:w="2404" w:type="pct"/>
          </w:tcPr>
          <w:p w14:paraId="034BF9E9" w14:textId="0190BB3B" w:rsidR="002C544E" w:rsidRPr="002C544E" w:rsidRDefault="002C544E" w:rsidP="002C544E">
            <w:pPr>
              <w:pStyle w:val="ListParagraph"/>
              <w:numPr>
                <w:ilvl w:val="0"/>
                <w:numId w:val="11"/>
              </w:numPr>
              <w:tabs>
                <w:tab w:val="left" w:pos="700"/>
              </w:tabs>
              <w:spacing w:before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C544E">
              <w:rPr>
                <w:rFonts w:cstheme="minorHAnsi"/>
              </w:rPr>
              <w:t xml:space="preserve">Mt. SAC will increase the number of completed Chancellor’s Office approved certificates from </w:t>
            </w:r>
            <w:r w:rsidRPr="002C544E">
              <w:rPr>
                <w:rFonts w:cstheme="minorHAnsi"/>
                <w:b/>
                <w:strike/>
                <w:color w:val="FF0000"/>
              </w:rPr>
              <w:t>453</w:t>
            </w:r>
            <w:r w:rsidRPr="002C544E">
              <w:rPr>
                <w:rFonts w:cstheme="minorHAnsi"/>
                <w:b/>
                <w:color w:val="FF0000"/>
              </w:rPr>
              <w:t xml:space="preserve"> </w:t>
            </w:r>
            <w:r w:rsidRPr="002C544E">
              <w:rPr>
                <w:rFonts w:cstheme="minorHAnsi"/>
                <w:b/>
              </w:rPr>
              <w:t>405</w:t>
            </w:r>
            <w:r w:rsidRPr="002C544E">
              <w:rPr>
                <w:rFonts w:cstheme="minorHAnsi"/>
              </w:rPr>
              <w:t xml:space="preserve"> in 2016-17 to </w:t>
            </w:r>
            <w:r w:rsidRPr="002C544E">
              <w:rPr>
                <w:rFonts w:cstheme="minorHAnsi"/>
                <w:b/>
                <w:strike/>
                <w:color w:val="FF0000"/>
              </w:rPr>
              <w:t>544</w:t>
            </w:r>
            <w:r w:rsidRPr="002C544E">
              <w:rPr>
                <w:rFonts w:cstheme="minorHAnsi"/>
                <w:b/>
                <w:color w:val="FF0000"/>
              </w:rPr>
              <w:t xml:space="preserve"> </w:t>
            </w:r>
            <w:r w:rsidRPr="002C544E">
              <w:rPr>
                <w:rFonts w:cstheme="minorHAnsi"/>
                <w:b/>
              </w:rPr>
              <w:t>486</w:t>
            </w:r>
            <w:r w:rsidRPr="002C544E">
              <w:rPr>
                <w:rFonts w:cstheme="minorHAnsi"/>
                <w:color w:val="FF0000"/>
              </w:rPr>
              <w:t xml:space="preserve"> </w:t>
            </w:r>
            <w:r w:rsidRPr="002C544E">
              <w:rPr>
                <w:rFonts w:cstheme="minorHAnsi"/>
              </w:rPr>
              <w:t xml:space="preserve">in 2021-22, an increase of </w:t>
            </w:r>
            <w:r w:rsidRPr="002C544E">
              <w:rPr>
                <w:rFonts w:cstheme="minorHAnsi"/>
                <w:b/>
              </w:rPr>
              <w:t>20 percent</w:t>
            </w:r>
            <w:r w:rsidRPr="002C544E">
              <w:rPr>
                <w:rFonts w:cstheme="minorHAnsi"/>
              </w:rPr>
              <w:t xml:space="preserve">.  </w:t>
            </w:r>
            <w:r w:rsidRPr="002C544E">
              <w:rPr>
                <w:rFonts w:cstheme="minorHAnsi"/>
                <w:i/>
              </w:rPr>
              <w:t>(Accreditation: Institution-set Standards [ISS])</w:t>
            </w:r>
          </w:p>
          <w:p w14:paraId="1F0286D3" w14:textId="77777777" w:rsidR="00C46599" w:rsidRDefault="00FB0DAD" w:rsidP="009C7866">
            <w:pPr>
              <w:tabs>
                <w:tab w:val="left" w:pos="700"/>
              </w:tabs>
              <w:spacing w:before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9C7866">
              <w:rPr>
                <w:rFonts w:cstheme="minorHAnsi"/>
                <w:b/>
                <w:color w:val="000000" w:themeColor="text1"/>
              </w:rPr>
              <w:t>In addition</w:t>
            </w:r>
            <w:r w:rsidRPr="00B24B07">
              <w:rPr>
                <w:rFonts w:cstheme="minorHAnsi"/>
                <w:color w:val="000000" w:themeColor="text1"/>
              </w:rPr>
              <w:t>, among [DROPDOWN: LIST OF DI STUDENT GROUPS] students, the number of completed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B10925">
              <w:rPr>
                <w:rFonts w:cstheme="minorHAnsi"/>
                <w:color w:val="000000" w:themeColor="text1"/>
              </w:rPr>
              <w:t xml:space="preserve">Chancellor’s Office approved </w:t>
            </w:r>
            <w:r w:rsidRPr="00B24B07">
              <w:rPr>
                <w:rFonts w:cstheme="minorHAnsi"/>
                <w:color w:val="000000" w:themeColor="text1"/>
              </w:rPr>
              <w:t>certificates will increase from [</w:t>
            </w:r>
            <w:r w:rsidRPr="00C96DE2">
              <w:rPr>
                <w:rFonts w:cstheme="minorHAnsi"/>
                <w:b/>
                <w:color w:val="000000" w:themeColor="text1"/>
              </w:rPr>
              <w:t>NUMBER</w:t>
            </w:r>
            <w:r w:rsidRPr="00B24B07">
              <w:rPr>
                <w:rFonts w:cstheme="minorHAnsi"/>
                <w:color w:val="000000" w:themeColor="text1"/>
              </w:rPr>
              <w:t>] in 2016-17 to [</w:t>
            </w:r>
            <w:r w:rsidRPr="00C96DE2">
              <w:rPr>
                <w:rFonts w:cstheme="minorHAnsi"/>
                <w:b/>
                <w:color w:val="000000" w:themeColor="text1"/>
              </w:rPr>
              <w:t>NUMBER</w:t>
            </w:r>
            <w:r w:rsidRPr="00B24B07">
              <w:rPr>
                <w:rFonts w:cstheme="minorHAnsi"/>
                <w:color w:val="000000" w:themeColor="text1"/>
              </w:rPr>
              <w:t>] in 2021-22, an increase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24B07">
              <w:rPr>
                <w:rFonts w:cstheme="minorHAnsi"/>
                <w:color w:val="000000" w:themeColor="text1"/>
              </w:rPr>
              <w:t>of [</w:t>
            </w:r>
            <w:r w:rsidRPr="00C96DE2">
              <w:rPr>
                <w:rFonts w:cstheme="minorHAnsi"/>
                <w:b/>
                <w:color w:val="000000" w:themeColor="text1"/>
              </w:rPr>
              <w:t>NUMBER</w:t>
            </w:r>
            <w:r w:rsidRPr="00B24B07">
              <w:rPr>
                <w:rFonts w:cstheme="minorHAnsi"/>
                <w:color w:val="000000" w:themeColor="text1"/>
              </w:rPr>
              <w:t>] percent.</w:t>
            </w:r>
          </w:p>
          <w:p w14:paraId="47EBE5FB" w14:textId="19C7BF4C" w:rsidR="00FA10B7" w:rsidRPr="004446BB" w:rsidRDefault="00FA10B7" w:rsidP="009C7866">
            <w:pPr>
              <w:tabs>
                <w:tab w:val="left" w:pos="700"/>
              </w:tabs>
              <w:spacing w:before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FB0DAD" w:rsidRPr="004446BB" w14:paraId="42CE9137" w14:textId="77777777" w:rsidTr="00636F30">
        <w:trPr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pct"/>
          </w:tcPr>
          <w:p w14:paraId="7737AA1F" w14:textId="77777777" w:rsidR="00FB0DAD" w:rsidRPr="00B11924" w:rsidRDefault="00FB0DAD" w:rsidP="002D3B58">
            <w:pPr>
              <w:tabs>
                <w:tab w:val="left" w:pos="700"/>
              </w:tabs>
              <w:spacing w:before="64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404" w:type="pct"/>
          </w:tcPr>
          <w:p w14:paraId="2D866538" w14:textId="4BA44F3D" w:rsidR="009C7866" w:rsidRDefault="009C7866" w:rsidP="009C7866">
            <w:pPr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24B07">
              <w:rPr>
                <w:rFonts w:cstheme="minorHAnsi"/>
                <w:i/>
                <w:color w:val="000000" w:themeColor="text1"/>
              </w:rPr>
              <w:t>Additionally</w:t>
            </w:r>
            <w:r w:rsidRPr="00B24B07">
              <w:rPr>
                <w:rFonts w:cstheme="minorHAnsi"/>
                <w:color w:val="000000" w:themeColor="text1"/>
              </w:rPr>
              <w:t xml:space="preserve">, for each of your </w:t>
            </w:r>
            <w:proofErr w:type="gramStart"/>
            <w:r w:rsidRPr="00B24B07">
              <w:rPr>
                <w:rFonts w:cstheme="minorHAnsi"/>
                <w:color w:val="000000" w:themeColor="text1"/>
              </w:rPr>
              <w:t>college’s</w:t>
            </w:r>
            <w:proofErr w:type="gramEnd"/>
            <w:r w:rsidRPr="00B24B07">
              <w:rPr>
                <w:rFonts w:cstheme="minorHAnsi"/>
                <w:color w:val="000000" w:themeColor="text1"/>
              </w:rPr>
              <w:t xml:space="preserve"> disproportionately impacted groups, </w:t>
            </w:r>
            <w:r w:rsidRPr="00C96DE2">
              <w:rPr>
                <w:rFonts w:cstheme="minorHAnsi"/>
                <w:b/>
                <w:color w:val="000000" w:themeColor="text1"/>
              </w:rPr>
              <w:t>please identify a transfer goal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24B07">
              <w:rPr>
                <w:rFonts w:cstheme="minorHAnsi"/>
                <w:color w:val="000000" w:themeColor="text1"/>
              </w:rPr>
              <w:t>that envisions a faster rate of improvement than for your college as a whole.</w:t>
            </w:r>
          </w:p>
          <w:p w14:paraId="7980BC3C" w14:textId="77777777" w:rsidR="00FA10B7" w:rsidRPr="009C7866" w:rsidRDefault="00FA10B7" w:rsidP="009C7866">
            <w:pPr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055FF32F" w14:textId="06A1F7A7" w:rsidR="00FA10B7" w:rsidRPr="00FA10B7" w:rsidRDefault="00FA10B7" w:rsidP="00FA10B7">
            <w:pPr>
              <w:pStyle w:val="ListParagraph"/>
              <w:numPr>
                <w:ilvl w:val="0"/>
                <w:numId w:val="11"/>
              </w:numPr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10B7">
              <w:rPr>
                <w:rFonts w:cstheme="minorHAnsi"/>
              </w:rPr>
              <w:t xml:space="preserve">Mt. SAC will increase the number of completed Associate Degree for Transfer (ADT) degrees from </w:t>
            </w:r>
            <w:r w:rsidRPr="00FA10B7">
              <w:rPr>
                <w:rFonts w:cstheme="minorHAnsi"/>
                <w:b/>
                <w:strike/>
                <w:color w:val="FF0000"/>
              </w:rPr>
              <w:t>549</w:t>
            </w:r>
            <w:r w:rsidRPr="00FA10B7">
              <w:rPr>
                <w:rFonts w:cstheme="minorHAnsi"/>
                <w:b/>
                <w:color w:val="FF0000"/>
              </w:rPr>
              <w:t xml:space="preserve"> </w:t>
            </w:r>
            <w:r w:rsidRPr="00FA10B7">
              <w:rPr>
                <w:rFonts w:cstheme="minorHAnsi"/>
                <w:b/>
              </w:rPr>
              <w:t>516</w:t>
            </w:r>
            <w:r w:rsidRPr="00FA10B7">
              <w:rPr>
                <w:rFonts w:cstheme="minorHAnsi"/>
              </w:rPr>
              <w:t xml:space="preserve"> in 2016-17 to </w:t>
            </w:r>
            <w:r w:rsidRPr="00FA10B7">
              <w:rPr>
                <w:rFonts w:cstheme="minorHAnsi"/>
                <w:b/>
                <w:strike/>
                <w:color w:val="FF0000"/>
              </w:rPr>
              <w:t>648</w:t>
            </w:r>
            <w:r w:rsidRPr="00FA10B7">
              <w:rPr>
                <w:rFonts w:cstheme="minorHAnsi"/>
                <w:b/>
                <w:color w:val="FF0000"/>
              </w:rPr>
              <w:t xml:space="preserve"> </w:t>
            </w:r>
            <w:r w:rsidRPr="00FA10B7">
              <w:rPr>
                <w:rFonts w:cstheme="minorHAnsi"/>
                <w:b/>
              </w:rPr>
              <w:t>609</w:t>
            </w:r>
            <w:r w:rsidRPr="00FA10B7">
              <w:rPr>
                <w:rFonts w:cstheme="minorHAnsi"/>
              </w:rPr>
              <w:t xml:space="preserve"> in 2021-22, an increase of </w:t>
            </w:r>
            <w:r w:rsidRPr="00FA10B7">
              <w:rPr>
                <w:rFonts w:cstheme="minorHAnsi"/>
                <w:b/>
              </w:rPr>
              <w:t>18 percent</w:t>
            </w:r>
            <w:r w:rsidRPr="00FA10B7">
              <w:rPr>
                <w:rFonts w:cstheme="minorHAnsi"/>
              </w:rPr>
              <w:t xml:space="preserve">. </w:t>
            </w:r>
          </w:p>
          <w:p w14:paraId="674A1B75" w14:textId="21B054F7" w:rsidR="009C7866" w:rsidRDefault="009C7866" w:rsidP="00325633">
            <w:pPr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C80DB8">
              <w:rPr>
                <w:rFonts w:cstheme="minorHAnsi"/>
                <w:b/>
                <w:color w:val="000000" w:themeColor="text1"/>
              </w:rPr>
              <w:t>In addition</w:t>
            </w:r>
            <w:r w:rsidRPr="00C80DB8">
              <w:rPr>
                <w:rFonts w:cstheme="minorHAnsi"/>
                <w:color w:val="000000" w:themeColor="text1"/>
              </w:rPr>
              <w:t>, among [DROPDOWN: LIST OF DI STUDENT GROUPS] students, the number of completed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80DB8">
              <w:rPr>
                <w:rFonts w:cstheme="minorHAnsi"/>
                <w:color w:val="000000" w:themeColor="text1"/>
              </w:rPr>
              <w:t>ADT degrees will increase from [</w:t>
            </w:r>
            <w:r w:rsidRPr="00C96DE2">
              <w:rPr>
                <w:rFonts w:cstheme="minorHAnsi"/>
                <w:b/>
                <w:color w:val="000000" w:themeColor="text1"/>
              </w:rPr>
              <w:t>NUMBER</w:t>
            </w:r>
            <w:r w:rsidRPr="00C80DB8">
              <w:rPr>
                <w:rFonts w:cstheme="minorHAnsi"/>
                <w:color w:val="000000" w:themeColor="text1"/>
              </w:rPr>
              <w:t>] in 2016-17 to [</w:t>
            </w:r>
            <w:r w:rsidRPr="00C96DE2">
              <w:rPr>
                <w:rFonts w:cstheme="minorHAnsi"/>
                <w:b/>
                <w:color w:val="000000" w:themeColor="text1"/>
              </w:rPr>
              <w:t>NUMBER</w:t>
            </w:r>
            <w:r w:rsidRPr="00C80DB8">
              <w:rPr>
                <w:rFonts w:cstheme="minorHAnsi"/>
                <w:color w:val="000000" w:themeColor="text1"/>
              </w:rPr>
              <w:t>] in 2021-22, an increase of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80DB8">
              <w:rPr>
                <w:rFonts w:cstheme="minorHAnsi"/>
                <w:color w:val="000000" w:themeColor="text1"/>
              </w:rPr>
              <w:t>[</w:t>
            </w:r>
            <w:r w:rsidRPr="00C96DE2">
              <w:rPr>
                <w:rFonts w:cstheme="minorHAnsi"/>
                <w:b/>
                <w:color w:val="000000" w:themeColor="text1"/>
              </w:rPr>
              <w:t>NUMBER</w:t>
            </w:r>
            <w:r w:rsidRPr="00C80DB8">
              <w:rPr>
                <w:rFonts w:cstheme="minorHAnsi"/>
                <w:color w:val="000000" w:themeColor="text1"/>
              </w:rPr>
              <w:t>] percent.</w:t>
            </w:r>
          </w:p>
          <w:p w14:paraId="04B84879" w14:textId="77777777" w:rsidR="00FA10B7" w:rsidRDefault="00FA10B7" w:rsidP="00325633">
            <w:pPr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084AEE1D" w14:textId="03CE1F49" w:rsidR="00FA10B7" w:rsidRPr="00FA10B7" w:rsidRDefault="00FA10B7" w:rsidP="00FA10B7">
            <w:pPr>
              <w:pStyle w:val="ListParagraph"/>
              <w:numPr>
                <w:ilvl w:val="0"/>
                <w:numId w:val="11"/>
              </w:numPr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10B7">
              <w:rPr>
                <w:rFonts w:cstheme="minorHAnsi"/>
              </w:rPr>
              <w:t xml:space="preserve">Mt. SAC will increase the number of transfers to a </w:t>
            </w:r>
            <w:r w:rsidRPr="00FA10B7">
              <w:rPr>
                <w:rFonts w:cstheme="minorHAnsi"/>
                <w:u w:val="single"/>
              </w:rPr>
              <w:t>CSU or UC</w:t>
            </w:r>
            <w:r w:rsidRPr="00FA10B7">
              <w:rPr>
                <w:rFonts w:cstheme="minorHAnsi"/>
              </w:rPr>
              <w:t xml:space="preserve"> from </w:t>
            </w:r>
            <w:r w:rsidRPr="00FA10B7">
              <w:rPr>
                <w:rFonts w:cstheme="minorHAnsi"/>
                <w:b/>
                <w:strike/>
                <w:color w:val="FF0000"/>
              </w:rPr>
              <w:t>1,859</w:t>
            </w:r>
            <w:r w:rsidRPr="00FA10B7">
              <w:rPr>
                <w:rFonts w:cstheme="minorHAnsi"/>
                <w:b/>
                <w:color w:val="FF0000"/>
              </w:rPr>
              <w:t xml:space="preserve"> </w:t>
            </w:r>
            <w:r w:rsidRPr="00FA10B7">
              <w:rPr>
                <w:rFonts w:cstheme="minorHAnsi"/>
                <w:b/>
              </w:rPr>
              <w:t>1,905</w:t>
            </w:r>
            <w:r w:rsidRPr="00FA10B7">
              <w:rPr>
                <w:rFonts w:cstheme="minorHAnsi"/>
              </w:rPr>
              <w:t xml:space="preserve"> in 2016-17 (</w:t>
            </w:r>
            <w:r w:rsidRPr="00FA10B7">
              <w:rPr>
                <w:rFonts w:cstheme="minorHAnsi"/>
                <w:highlight w:val="yellow"/>
              </w:rPr>
              <w:t>Why 1904 in NOVA?]</w:t>
            </w:r>
            <w:r w:rsidRPr="00FA10B7">
              <w:rPr>
                <w:rFonts w:cstheme="minorHAnsi"/>
              </w:rPr>
              <w:t xml:space="preserve"> to </w:t>
            </w:r>
            <w:r w:rsidRPr="00FA10B7">
              <w:rPr>
                <w:rFonts w:cstheme="minorHAnsi"/>
                <w:b/>
                <w:strike/>
                <w:color w:val="FF0000"/>
              </w:rPr>
              <w:t xml:space="preserve">2,045 </w:t>
            </w:r>
            <w:r w:rsidRPr="00FA10B7">
              <w:rPr>
                <w:rFonts w:cstheme="minorHAnsi"/>
                <w:b/>
              </w:rPr>
              <w:t>2,096</w:t>
            </w:r>
            <w:r w:rsidRPr="00FA10B7">
              <w:rPr>
                <w:rFonts w:cstheme="minorHAnsi"/>
                <w:color w:val="FF0000"/>
              </w:rPr>
              <w:t xml:space="preserve"> </w:t>
            </w:r>
            <w:r w:rsidRPr="00FA10B7">
              <w:rPr>
                <w:rFonts w:cstheme="minorHAnsi"/>
              </w:rPr>
              <w:t xml:space="preserve">in 2021-22, an increase of </w:t>
            </w:r>
            <w:r w:rsidRPr="00FA10B7">
              <w:rPr>
                <w:rFonts w:cstheme="minorHAnsi"/>
                <w:b/>
              </w:rPr>
              <w:t>10 percent</w:t>
            </w:r>
            <w:r w:rsidRPr="00FA10B7">
              <w:rPr>
                <w:rFonts w:cstheme="minorHAnsi"/>
              </w:rPr>
              <w:t xml:space="preserve">.  </w:t>
            </w:r>
            <w:r w:rsidRPr="00FA10B7">
              <w:rPr>
                <w:rFonts w:cstheme="minorHAnsi"/>
                <w:i/>
              </w:rPr>
              <w:t>(Accreditation: Institution-set Standards [ISS])</w:t>
            </w:r>
          </w:p>
          <w:p w14:paraId="3D9D8C0D" w14:textId="77777777" w:rsidR="00FA10B7" w:rsidRDefault="00FA10B7" w:rsidP="00FA10B7">
            <w:pPr>
              <w:pStyle w:val="ListParagraph"/>
              <w:numPr>
                <w:ilvl w:val="0"/>
                <w:numId w:val="11"/>
              </w:numPr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D37AC">
              <w:rPr>
                <w:rFonts w:cstheme="minorHAnsi"/>
              </w:rPr>
              <w:t xml:space="preserve">Mt. SAC will increase the number of transfers to </w:t>
            </w:r>
            <w:r w:rsidRPr="00A645CA">
              <w:rPr>
                <w:rFonts w:cstheme="minorHAnsi"/>
              </w:rPr>
              <w:t xml:space="preserve">a </w:t>
            </w:r>
            <w:proofErr w:type="gramStart"/>
            <w:r w:rsidRPr="00A645CA">
              <w:rPr>
                <w:rFonts w:cstheme="minorHAnsi"/>
                <w:u w:val="single"/>
              </w:rPr>
              <w:t>Private College</w:t>
            </w:r>
            <w:r>
              <w:rPr>
                <w:rFonts w:cstheme="minorHAnsi"/>
                <w:u w:val="single"/>
              </w:rPr>
              <w:t>s</w:t>
            </w:r>
            <w:r w:rsidRPr="00A645CA">
              <w:rPr>
                <w:rFonts w:cstheme="minorHAnsi"/>
                <w:u w:val="single"/>
              </w:rPr>
              <w:t xml:space="preserve"> In-State</w:t>
            </w:r>
            <w:proofErr w:type="gramEnd"/>
            <w:r>
              <w:rPr>
                <w:rFonts w:cstheme="minorHAnsi"/>
                <w:u w:val="single"/>
              </w:rPr>
              <w:t xml:space="preserve"> </w:t>
            </w:r>
            <w:r w:rsidRPr="00ED37AC">
              <w:rPr>
                <w:rFonts w:cstheme="minorHAnsi"/>
              </w:rPr>
              <w:t xml:space="preserve">from </w:t>
            </w:r>
            <w:r>
              <w:rPr>
                <w:rFonts w:cstheme="minorHAnsi"/>
                <w:b/>
              </w:rPr>
              <w:t xml:space="preserve">479 </w:t>
            </w:r>
            <w:r w:rsidRPr="00ED37AC">
              <w:rPr>
                <w:rFonts w:cstheme="minorHAnsi"/>
              </w:rPr>
              <w:t xml:space="preserve">in 2016-17 to </w:t>
            </w:r>
            <w:r>
              <w:rPr>
                <w:rFonts w:cstheme="minorHAnsi"/>
                <w:b/>
              </w:rPr>
              <w:t>527</w:t>
            </w:r>
            <w:r w:rsidRPr="00ED37AC">
              <w:rPr>
                <w:rFonts w:cstheme="minorHAnsi"/>
                <w:color w:val="FF0000"/>
              </w:rPr>
              <w:t xml:space="preserve"> </w:t>
            </w:r>
            <w:r w:rsidRPr="00ED37AC">
              <w:rPr>
                <w:rFonts w:cstheme="minorHAnsi"/>
              </w:rPr>
              <w:t xml:space="preserve">in 2021-22, an increase of </w:t>
            </w:r>
            <w:r w:rsidRPr="002F05DB">
              <w:rPr>
                <w:rFonts w:cstheme="minorHAnsi"/>
                <w:b/>
              </w:rPr>
              <w:t>10 percent</w:t>
            </w:r>
            <w:r w:rsidRPr="00ED37AC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ED37AC"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>(</w:t>
            </w:r>
            <w:r w:rsidRPr="00BC660F">
              <w:rPr>
                <w:rFonts w:cstheme="minorHAnsi"/>
                <w:i/>
                <w:highlight w:val="yellow"/>
              </w:rPr>
              <w:t>new</w:t>
            </w:r>
            <w:r>
              <w:rPr>
                <w:rFonts w:cstheme="minorHAnsi"/>
                <w:i/>
              </w:rPr>
              <w:t>)</w:t>
            </w:r>
          </w:p>
          <w:p w14:paraId="6012AD6E" w14:textId="77777777" w:rsidR="00FA10B7" w:rsidRDefault="00FA10B7" w:rsidP="00FA10B7">
            <w:pPr>
              <w:pStyle w:val="ListParagraph"/>
              <w:numPr>
                <w:ilvl w:val="0"/>
                <w:numId w:val="11"/>
              </w:numPr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D37AC">
              <w:rPr>
                <w:rFonts w:cstheme="minorHAnsi"/>
              </w:rPr>
              <w:t xml:space="preserve">Mt. SAC will increase the number of transfers to </w:t>
            </w:r>
            <w:r w:rsidRPr="00A645CA">
              <w:rPr>
                <w:rFonts w:cstheme="minorHAnsi"/>
              </w:rPr>
              <w:t xml:space="preserve">a </w:t>
            </w:r>
            <w:r w:rsidRPr="00A645CA">
              <w:rPr>
                <w:rFonts w:cstheme="minorHAnsi"/>
                <w:u w:val="single"/>
              </w:rPr>
              <w:t>Private College</w:t>
            </w:r>
            <w:r>
              <w:rPr>
                <w:rFonts w:cstheme="minorHAnsi"/>
                <w:u w:val="single"/>
              </w:rPr>
              <w:t>s</w:t>
            </w:r>
            <w:r w:rsidRPr="00A645CA">
              <w:rPr>
                <w:rFonts w:cstheme="minorHAnsi"/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>Out-of</w:t>
            </w:r>
            <w:r w:rsidRPr="00A645CA">
              <w:rPr>
                <w:rFonts w:cstheme="minorHAnsi"/>
                <w:u w:val="single"/>
              </w:rPr>
              <w:t>-State</w:t>
            </w:r>
            <w:r>
              <w:rPr>
                <w:rFonts w:cstheme="minorHAnsi"/>
                <w:u w:val="single"/>
              </w:rPr>
              <w:t xml:space="preserve"> </w:t>
            </w:r>
            <w:r w:rsidRPr="00ED37AC">
              <w:rPr>
                <w:rFonts w:cstheme="minorHAnsi"/>
              </w:rPr>
              <w:t xml:space="preserve">from </w:t>
            </w:r>
            <w:r>
              <w:rPr>
                <w:rFonts w:cstheme="minorHAnsi"/>
                <w:b/>
              </w:rPr>
              <w:t xml:space="preserve">381 </w:t>
            </w:r>
            <w:r w:rsidRPr="00ED37AC">
              <w:rPr>
                <w:rFonts w:cstheme="minorHAnsi"/>
              </w:rPr>
              <w:t xml:space="preserve">in 2016-17 to </w:t>
            </w:r>
            <w:r>
              <w:rPr>
                <w:rFonts w:cstheme="minorHAnsi"/>
                <w:b/>
              </w:rPr>
              <w:t>419</w:t>
            </w:r>
            <w:r w:rsidRPr="00ED37AC">
              <w:rPr>
                <w:rFonts w:cstheme="minorHAnsi"/>
                <w:color w:val="FF0000"/>
              </w:rPr>
              <w:t xml:space="preserve"> </w:t>
            </w:r>
            <w:r w:rsidRPr="00ED37AC">
              <w:rPr>
                <w:rFonts w:cstheme="minorHAnsi"/>
              </w:rPr>
              <w:t xml:space="preserve">in 2021-22, an increase of </w:t>
            </w:r>
            <w:r w:rsidRPr="002F05DB">
              <w:rPr>
                <w:rFonts w:cstheme="minorHAnsi"/>
                <w:b/>
              </w:rPr>
              <w:t>10 percent</w:t>
            </w:r>
            <w:r w:rsidRPr="00ED37AC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ED37AC"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>(</w:t>
            </w:r>
            <w:r w:rsidRPr="00BC660F">
              <w:rPr>
                <w:rFonts w:cstheme="minorHAnsi"/>
                <w:i/>
                <w:highlight w:val="yellow"/>
              </w:rPr>
              <w:t>new</w:t>
            </w:r>
            <w:r>
              <w:rPr>
                <w:rFonts w:cstheme="minorHAnsi"/>
                <w:i/>
              </w:rPr>
              <w:t>)</w:t>
            </w:r>
          </w:p>
          <w:p w14:paraId="6D82BAFB" w14:textId="77777777" w:rsidR="004D0020" w:rsidRDefault="004D0020" w:rsidP="004D0020">
            <w:pPr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9C7866">
              <w:rPr>
                <w:rFonts w:cstheme="minorHAnsi"/>
                <w:b/>
                <w:color w:val="000000" w:themeColor="text1"/>
              </w:rPr>
              <w:t>In addition</w:t>
            </w:r>
            <w:r w:rsidRPr="00766390">
              <w:rPr>
                <w:rFonts w:cstheme="minorHAnsi"/>
                <w:color w:val="000000" w:themeColor="text1"/>
              </w:rPr>
              <w:t>, among [DROPDOWN: LIST OF DI STUDENT GROUPS] students, the number of transfers to UC/CSU will increase from [</w:t>
            </w:r>
            <w:r w:rsidRPr="00C96DE2">
              <w:rPr>
                <w:rFonts w:cstheme="minorHAnsi"/>
                <w:b/>
                <w:color w:val="000000" w:themeColor="text1"/>
              </w:rPr>
              <w:t>NUMBER</w:t>
            </w:r>
            <w:r w:rsidRPr="00766390">
              <w:rPr>
                <w:rFonts w:cstheme="minorHAnsi"/>
                <w:color w:val="000000" w:themeColor="text1"/>
              </w:rPr>
              <w:t>] in 2016-17 to [</w:t>
            </w:r>
            <w:r w:rsidRPr="00C96DE2">
              <w:rPr>
                <w:rFonts w:cstheme="minorHAnsi"/>
                <w:b/>
                <w:color w:val="000000" w:themeColor="text1"/>
              </w:rPr>
              <w:t>NUMBER</w:t>
            </w:r>
            <w:r w:rsidRPr="00766390">
              <w:rPr>
                <w:rFonts w:cstheme="minorHAnsi"/>
                <w:color w:val="000000" w:themeColor="text1"/>
              </w:rPr>
              <w:t>] in 2021-22, an increase of [</w:t>
            </w:r>
            <w:r w:rsidRPr="00C96DE2">
              <w:rPr>
                <w:rFonts w:cstheme="minorHAnsi"/>
                <w:b/>
                <w:color w:val="000000" w:themeColor="text1"/>
              </w:rPr>
              <w:t>NUMBER</w:t>
            </w:r>
            <w:r w:rsidRPr="00766390">
              <w:rPr>
                <w:rFonts w:cstheme="minorHAnsi"/>
                <w:color w:val="000000" w:themeColor="text1"/>
              </w:rPr>
              <w:t>] percent.</w:t>
            </w:r>
          </w:p>
          <w:p w14:paraId="4B4C2259" w14:textId="77777777" w:rsidR="00FB0DAD" w:rsidRPr="004446BB" w:rsidRDefault="00FB0DAD" w:rsidP="00C80DB8">
            <w:pPr>
              <w:tabs>
                <w:tab w:val="left" w:pos="700"/>
              </w:tabs>
              <w:spacing w:before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</w:tbl>
    <w:p w14:paraId="36B06725" w14:textId="77777777" w:rsidR="00F231DB" w:rsidRDefault="00C22121" w:rsidP="00CC10F3">
      <w:pPr>
        <w:pStyle w:val="Heading1"/>
        <w:spacing w:after="120"/>
      </w:pPr>
      <w:r>
        <w:t>Links</w:t>
      </w:r>
    </w:p>
    <w:p w14:paraId="2871C185" w14:textId="77777777" w:rsidR="008B3080" w:rsidRDefault="00F231DB" w:rsidP="00787F5C">
      <w:pPr>
        <w:spacing w:after="0"/>
      </w:pPr>
      <w:r>
        <w:t>T</w:t>
      </w:r>
      <w:r w:rsidR="008B3080">
        <w:t xml:space="preserve">he links below will take you to (1) Vision for Success document from the California Community College Chancellor’s Office as well as the (2) Student Success Metrics. </w:t>
      </w:r>
    </w:p>
    <w:p w14:paraId="2F19E54F" w14:textId="77777777" w:rsidR="00A76AA1" w:rsidRDefault="00691CF1" w:rsidP="002E55D7">
      <w:pPr>
        <w:pStyle w:val="ListParagraph"/>
        <w:numPr>
          <w:ilvl w:val="0"/>
          <w:numId w:val="7"/>
        </w:numPr>
        <w:spacing w:after="0"/>
      </w:pPr>
      <w:hyperlink r:id="rId9" w:tooltip="Link goes to Chancellor's Office document called Vision for Success." w:history="1">
        <w:r w:rsidR="00DF1153" w:rsidRPr="001967DD">
          <w:rPr>
            <w:rStyle w:val="Hyperlink"/>
          </w:rPr>
          <w:t>http://californiacommunitycolleges.cccco.edu/portals/0/reports/vision-for-success.pdf</w:t>
        </w:r>
      </w:hyperlink>
    </w:p>
    <w:p w14:paraId="0F7EC0F3" w14:textId="77777777" w:rsidR="00DF1153" w:rsidRPr="002E55D7" w:rsidRDefault="00691CF1" w:rsidP="002E55D7">
      <w:pPr>
        <w:pStyle w:val="ListParagraph"/>
        <w:numPr>
          <w:ilvl w:val="0"/>
          <w:numId w:val="7"/>
        </w:numPr>
        <w:tabs>
          <w:tab w:val="left" w:pos="700"/>
        </w:tabs>
        <w:spacing w:before="64" w:after="0"/>
        <w:rPr>
          <w:rFonts w:cstheme="minorHAnsi"/>
        </w:rPr>
      </w:pPr>
      <w:hyperlink r:id="rId10" w:tooltip="Link goes to dashboard for all California Community Colleges on Student Success Metrics." w:history="1">
        <w:r w:rsidR="00DF1153" w:rsidRPr="002E55D7">
          <w:rPr>
            <w:rStyle w:val="Hyperlink"/>
            <w:rFonts w:cstheme="minorHAnsi"/>
          </w:rPr>
          <w:t>https://www.calpassplus.org/LaunchBoard/Student-Success-Metrics.aspx</w:t>
        </w:r>
      </w:hyperlink>
    </w:p>
    <w:p w14:paraId="0CBCD511" w14:textId="77777777" w:rsidR="00D61752" w:rsidRDefault="00F231DB" w:rsidP="00CC10F3">
      <w:pPr>
        <w:pStyle w:val="Heading1"/>
        <w:spacing w:before="120" w:after="120"/>
      </w:pPr>
      <w:r>
        <w:lastRenderedPageBreak/>
        <w:t>Sequence of Reviews:</w:t>
      </w:r>
    </w:p>
    <w:p w14:paraId="434695C9" w14:textId="77777777" w:rsidR="00F231DB" w:rsidRDefault="00D61752" w:rsidP="00D61752">
      <w:pPr>
        <w:spacing w:after="0"/>
      </w:pPr>
      <w:r>
        <w:t xml:space="preserve">This document was reviewed as noted below: </w:t>
      </w:r>
    </w:p>
    <w:p w14:paraId="05ED2B19" w14:textId="77777777" w:rsidR="00F231DB" w:rsidRPr="00F231DB" w:rsidRDefault="00F231DB" w:rsidP="00B11AB5">
      <w:pPr>
        <w:pStyle w:val="ListParagraph"/>
        <w:numPr>
          <w:ilvl w:val="0"/>
          <w:numId w:val="6"/>
        </w:numPr>
        <w:tabs>
          <w:tab w:val="left" w:pos="700"/>
        </w:tabs>
        <w:spacing w:before="64" w:after="0" w:line="240" w:lineRule="auto"/>
        <w:rPr>
          <w:rFonts w:cstheme="minorHAnsi"/>
          <w:bCs/>
        </w:rPr>
      </w:pPr>
      <w:r w:rsidRPr="00F231DB">
        <w:rPr>
          <w:rFonts w:cstheme="minorHAnsi"/>
          <w:bCs/>
        </w:rPr>
        <w:t>Expanded President’s Advisory Council (PAC) 11/28/2018</w:t>
      </w:r>
      <w:r w:rsidR="00B11AB5">
        <w:rPr>
          <w:rFonts w:cstheme="minorHAnsi"/>
          <w:bCs/>
        </w:rPr>
        <w:t xml:space="preserve"> (see complement of group via Administrative Procedure (AP) 3250) </w:t>
      </w:r>
      <w:hyperlink r:id="rId11" w:tooltip="Link goes to AP 3250. On page 2 it describes under &quot;Assessment of Integrated Planning&quot; how an expanded President's Advisory Council assesses the effectiveness of integrated planning." w:history="1">
        <w:r w:rsidR="00B11AB5" w:rsidRPr="00830888">
          <w:rPr>
            <w:rStyle w:val="Hyperlink"/>
            <w:rFonts w:cstheme="minorHAnsi"/>
            <w:bCs/>
          </w:rPr>
          <w:t>https://www.mtsac.edu/governance/trustees/apbp/AP3250.pdf</w:t>
        </w:r>
      </w:hyperlink>
      <w:r w:rsidR="00B11AB5">
        <w:rPr>
          <w:rFonts w:cstheme="minorHAnsi"/>
          <w:bCs/>
        </w:rPr>
        <w:t xml:space="preserve"> </w:t>
      </w:r>
    </w:p>
    <w:p w14:paraId="769B00D9" w14:textId="77777777" w:rsidR="00F231DB" w:rsidRPr="00971DC7" w:rsidRDefault="00F231DB" w:rsidP="006B3A0B">
      <w:pPr>
        <w:pStyle w:val="ListParagraph"/>
        <w:numPr>
          <w:ilvl w:val="0"/>
          <w:numId w:val="6"/>
        </w:numPr>
        <w:tabs>
          <w:tab w:val="left" w:pos="700"/>
        </w:tabs>
        <w:spacing w:before="64" w:line="240" w:lineRule="auto"/>
      </w:pPr>
      <w:r w:rsidRPr="00F231DB">
        <w:rPr>
          <w:rFonts w:cstheme="minorHAnsi"/>
        </w:rPr>
        <w:t>PAC 12/</w:t>
      </w:r>
      <w:r w:rsidRPr="00C22121">
        <w:rPr>
          <w:rFonts w:cstheme="minorHAnsi"/>
        </w:rPr>
        <w:t>12/</w:t>
      </w:r>
      <w:r w:rsidRPr="00C22121">
        <w:rPr>
          <w:rFonts w:cstheme="minorHAnsi"/>
          <w:bCs/>
        </w:rPr>
        <w:t>2018</w:t>
      </w:r>
      <w:r w:rsidRPr="00F231DB">
        <w:rPr>
          <w:rFonts w:cstheme="minorHAnsi"/>
        </w:rPr>
        <w:t xml:space="preserve"> </w:t>
      </w:r>
      <w:r w:rsidRPr="00971DC7">
        <w:rPr>
          <w:rFonts w:cstheme="minorHAnsi"/>
        </w:rPr>
        <w:t>(updated based on PAC requests &amp; changed to be ADA Compliant)</w:t>
      </w:r>
    </w:p>
    <w:p w14:paraId="337C6976" w14:textId="22DD62CD" w:rsidR="00971DC7" w:rsidRPr="00860AA7" w:rsidRDefault="00971DC7" w:rsidP="006B3A0B">
      <w:pPr>
        <w:pStyle w:val="ListParagraph"/>
        <w:numPr>
          <w:ilvl w:val="0"/>
          <w:numId w:val="6"/>
        </w:numPr>
        <w:tabs>
          <w:tab w:val="left" w:pos="700"/>
        </w:tabs>
        <w:spacing w:before="64" w:line="240" w:lineRule="auto"/>
      </w:pPr>
      <w:r>
        <w:rPr>
          <w:rFonts w:cstheme="minorHAnsi"/>
        </w:rPr>
        <w:t>President’s Cabinet 12/18/2018 (yellow highlights replaced by bolding</w:t>
      </w:r>
      <w:r w:rsidR="003E3DD1">
        <w:rPr>
          <w:rFonts w:cstheme="minorHAnsi"/>
        </w:rPr>
        <w:t>, added SP&amp;S to #5</w:t>
      </w:r>
      <w:r>
        <w:rPr>
          <w:rFonts w:cstheme="minorHAnsi"/>
        </w:rPr>
        <w:t>)</w:t>
      </w:r>
    </w:p>
    <w:p w14:paraId="222411A4" w14:textId="0EDFA9BE" w:rsidR="00860AA7" w:rsidRPr="00860AA7" w:rsidRDefault="00860AA7" w:rsidP="006B3A0B">
      <w:pPr>
        <w:pStyle w:val="ListParagraph"/>
        <w:numPr>
          <w:ilvl w:val="0"/>
          <w:numId w:val="6"/>
        </w:numPr>
        <w:tabs>
          <w:tab w:val="left" w:pos="700"/>
        </w:tabs>
        <w:spacing w:before="64" w:line="240" w:lineRule="auto"/>
      </w:pPr>
      <w:r>
        <w:rPr>
          <w:rFonts w:cstheme="minorHAnsi"/>
        </w:rPr>
        <w:t>Board of Trustees 01/09/2019</w:t>
      </w:r>
    </w:p>
    <w:p w14:paraId="357F9F49" w14:textId="42613FEE" w:rsidR="00860AA7" w:rsidRPr="001A1856" w:rsidRDefault="00860AA7" w:rsidP="006B3A0B">
      <w:pPr>
        <w:pStyle w:val="ListParagraph"/>
        <w:numPr>
          <w:ilvl w:val="0"/>
          <w:numId w:val="6"/>
        </w:numPr>
        <w:tabs>
          <w:tab w:val="left" w:pos="700"/>
        </w:tabs>
        <w:spacing w:before="64" w:line="240" w:lineRule="auto"/>
      </w:pPr>
      <w:r>
        <w:rPr>
          <w:rFonts w:cstheme="minorHAnsi"/>
        </w:rPr>
        <w:t>Student Preparation and Success (SP&amp;S) Council 3/4/2019</w:t>
      </w:r>
    </w:p>
    <w:p w14:paraId="27DE5EAF" w14:textId="22816DB8" w:rsidR="001A1856" w:rsidRPr="00F231DB" w:rsidRDefault="001A1856" w:rsidP="006B3A0B">
      <w:pPr>
        <w:pStyle w:val="ListParagraph"/>
        <w:numPr>
          <w:ilvl w:val="0"/>
          <w:numId w:val="6"/>
        </w:numPr>
        <w:tabs>
          <w:tab w:val="left" w:pos="700"/>
        </w:tabs>
        <w:spacing w:before="64" w:line="240" w:lineRule="auto"/>
      </w:pPr>
      <w:r>
        <w:rPr>
          <w:rFonts w:cstheme="minorHAnsi"/>
        </w:rPr>
        <w:t>President’s Cabinet 3/12/2019 (red strike outs are old data from SSM – CO updated the numbers and corrected them)</w:t>
      </w:r>
      <w:bookmarkStart w:id="0" w:name="_GoBack"/>
      <w:bookmarkEnd w:id="0"/>
    </w:p>
    <w:p w14:paraId="46E6AB9C" w14:textId="77777777" w:rsidR="006B3A0B" w:rsidRDefault="00812258" w:rsidP="00CC10F3">
      <w:pPr>
        <w:pStyle w:val="Heading1"/>
        <w:spacing w:before="120" w:after="120"/>
      </w:pPr>
      <w:r w:rsidRPr="00CC10F3">
        <w:t>File location</w:t>
      </w:r>
      <w:r w:rsidR="00787F5C">
        <w:t xml:space="preserve"> </w:t>
      </w:r>
    </w:p>
    <w:p w14:paraId="1A524E0D" w14:textId="15E942C9" w:rsidR="00A76AA1" w:rsidRDefault="00A76AA1">
      <w:r w:rsidRPr="00244459">
        <w:rPr>
          <w:sz w:val="20"/>
          <w:szCs w:val="20"/>
        </w:rPr>
        <w:t>C</w:t>
      </w:r>
      <w:proofErr w:type="gramStart"/>
      <w:r w:rsidRPr="00244459">
        <w:rPr>
          <w:sz w:val="20"/>
          <w:szCs w:val="20"/>
        </w:rPr>
        <w:t>:\</w:t>
      </w:r>
      <w:proofErr w:type="gramEnd"/>
      <w:r w:rsidRPr="00244459">
        <w:rPr>
          <w:sz w:val="20"/>
          <w:szCs w:val="20"/>
        </w:rPr>
        <w:t>Users\bmcneicestallard\Dropbox\Mt. SAC\1-CCCCO-Pathways\KPI--\</w:t>
      </w:r>
      <w:r w:rsidR="00830A30" w:rsidRPr="00830A30">
        <w:t xml:space="preserve"> </w:t>
      </w:r>
      <w:r w:rsidR="004E37D1" w:rsidRPr="004E37D1">
        <w:rPr>
          <w:sz w:val="20"/>
          <w:szCs w:val="20"/>
        </w:rPr>
        <w:t>Mapping College Goals to COVision-LocalGoalSetting-MtSAC-March4-2019.docx</w:t>
      </w:r>
    </w:p>
    <w:sectPr w:rsidR="00A76AA1" w:rsidSect="006355C7">
      <w:footerReference w:type="default" r:id="rId12"/>
      <w:pgSz w:w="20160" w:h="12240" w:orient="landscape" w:code="5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86BB8" w14:textId="77777777" w:rsidR="00691CF1" w:rsidRDefault="00691CF1" w:rsidP="00073528">
      <w:pPr>
        <w:spacing w:after="0" w:line="240" w:lineRule="auto"/>
      </w:pPr>
      <w:r>
        <w:separator/>
      </w:r>
    </w:p>
  </w:endnote>
  <w:endnote w:type="continuationSeparator" w:id="0">
    <w:p w14:paraId="0C1EBD86" w14:textId="77777777" w:rsidR="00691CF1" w:rsidRDefault="00691CF1" w:rsidP="0007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091704572"/>
      <w:docPartObj>
        <w:docPartGallery w:val="Page Numbers (Bottom of Page)"/>
        <w:docPartUnique/>
      </w:docPartObj>
    </w:sdtPr>
    <w:sdtEndPr/>
    <w:sdtContent>
      <w:p w14:paraId="55AA77E4" w14:textId="5E02D8C3" w:rsidR="00073528" w:rsidRDefault="00073528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 w:cs="Times New Roman"/>
          </w:rPr>
          <w:fldChar w:fldCharType="separate"/>
        </w:r>
        <w:r w:rsidR="001A1856" w:rsidRPr="001A1856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07C638ED" w14:textId="77777777" w:rsidR="00073528" w:rsidRDefault="00073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AA462" w14:textId="77777777" w:rsidR="00691CF1" w:rsidRDefault="00691CF1" w:rsidP="00073528">
      <w:pPr>
        <w:spacing w:after="0" w:line="240" w:lineRule="auto"/>
      </w:pPr>
      <w:r>
        <w:separator/>
      </w:r>
    </w:p>
  </w:footnote>
  <w:footnote w:type="continuationSeparator" w:id="0">
    <w:p w14:paraId="41DAD9F2" w14:textId="77777777" w:rsidR="00691CF1" w:rsidRDefault="00691CF1" w:rsidP="00073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B42"/>
    <w:multiLevelType w:val="hybridMultilevel"/>
    <w:tmpl w:val="9642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47473"/>
    <w:multiLevelType w:val="hybridMultilevel"/>
    <w:tmpl w:val="C332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3032C"/>
    <w:multiLevelType w:val="hybridMultilevel"/>
    <w:tmpl w:val="C332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44CC5"/>
    <w:multiLevelType w:val="hybridMultilevel"/>
    <w:tmpl w:val="B33A36F6"/>
    <w:lvl w:ilvl="0" w:tplc="CC4882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1322B"/>
    <w:multiLevelType w:val="hybridMultilevel"/>
    <w:tmpl w:val="C9D43E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F5A46"/>
    <w:multiLevelType w:val="hybridMultilevel"/>
    <w:tmpl w:val="E0E2E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909B8"/>
    <w:multiLevelType w:val="hybridMultilevel"/>
    <w:tmpl w:val="067409C8"/>
    <w:lvl w:ilvl="0" w:tplc="B202743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327F2"/>
    <w:multiLevelType w:val="hybridMultilevel"/>
    <w:tmpl w:val="C332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13CBE"/>
    <w:multiLevelType w:val="hybridMultilevel"/>
    <w:tmpl w:val="EB26D480"/>
    <w:lvl w:ilvl="0" w:tplc="B202743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844AC"/>
    <w:multiLevelType w:val="hybridMultilevel"/>
    <w:tmpl w:val="DDE2CEAC"/>
    <w:lvl w:ilvl="0" w:tplc="6AB883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526E49"/>
    <w:multiLevelType w:val="hybridMultilevel"/>
    <w:tmpl w:val="E68E5C8A"/>
    <w:lvl w:ilvl="0" w:tplc="CC4882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A0"/>
    <w:rsid w:val="00014300"/>
    <w:rsid w:val="000466C8"/>
    <w:rsid w:val="00066116"/>
    <w:rsid w:val="00073528"/>
    <w:rsid w:val="000A5BD8"/>
    <w:rsid w:val="000B0D50"/>
    <w:rsid w:val="000B2B9A"/>
    <w:rsid w:val="000B78D2"/>
    <w:rsid w:val="000E681F"/>
    <w:rsid w:val="00111E30"/>
    <w:rsid w:val="001142FB"/>
    <w:rsid w:val="00120DD6"/>
    <w:rsid w:val="00136581"/>
    <w:rsid w:val="00140A70"/>
    <w:rsid w:val="00156462"/>
    <w:rsid w:val="00160B86"/>
    <w:rsid w:val="00173A3D"/>
    <w:rsid w:val="00190370"/>
    <w:rsid w:val="0019238F"/>
    <w:rsid w:val="001A1856"/>
    <w:rsid w:val="001A621B"/>
    <w:rsid w:val="001B6552"/>
    <w:rsid w:val="001D55A9"/>
    <w:rsid w:val="001E0764"/>
    <w:rsid w:val="002111BC"/>
    <w:rsid w:val="00236949"/>
    <w:rsid w:val="00244459"/>
    <w:rsid w:val="00254C31"/>
    <w:rsid w:val="002677D1"/>
    <w:rsid w:val="00271222"/>
    <w:rsid w:val="00281FB5"/>
    <w:rsid w:val="002A0D07"/>
    <w:rsid w:val="002B3234"/>
    <w:rsid w:val="002C544E"/>
    <w:rsid w:val="002E55D7"/>
    <w:rsid w:val="002F05DB"/>
    <w:rsid w:val="002F0F5C"/>
    <w:rsid w:val="003110C9"/>
    <w:rsid w:val="00325633"/>
    <w:rsid w:val="0033262F"/>
    <w:rsid w:val="003523F5"/>
    <w:rsid w:val="0035694E"/>
    <w:rsid w:val="00357FC5"/>
    <w:rsid w:val="003679A0"/>
    <w:rsid w:val="00380576"/>
    <w:rsid w:val="00391410"/>
    <w:rsid w:val="003A0FF5"/>
    <w:rsid w:val="003A66E0"/>
    <w:rsid w:val="003B1B4D"/>
    <w:rsid w:val="003C1325"/>
    <w:rsid w:val="003D310F"/>
    <w:rsid w:val="003E004D"/>
    <w:rsid w:val="003E3DD1"/>
    <w:rsid w:val="004124C7"/>
    <w:rsid w:val="00414858"/>
    <w:rsid w:val="00417096"/>
    <w:rsid w:val="00421EB0"/>
    <w:rsid w:val="00437670"/>
    <w:rsid w:val="004506D0"/>
    <w:rsid w:val="00457F55"/>
    <w:rsid w:val="00492F77"/>
    <w:rsid w:val="004A5C53"/>
    <w:rsid w:val="004B7618"/>
    <w:rsid w:val="004C6AC8"/>
    <w:rsid w:val="004D0020"/>
    <w:rsid w:val="004D4724"/>
    <w:rsid w:val="004E37D1"/>
    <w:rsid w:val="004F1197"/>
    <w:rsid w:val="00503BC8"/>
    <w:rsid w:val="00505457"/>
    <w:rsid w:val="0051158B"/>
    <w:rsid w:val="00511BA7"/>
    <w:rsid w:val="00553C13"/>
    <w:rsid w:val="00574463"/>
    <w:rsid w:val="005920C5"/>
    <w:rsid w:val="005A1296"/>
    <w:rsid w:val="005B07FA"/>
    <w:rsid w:val="005F1EF3"/>
    <w:rsid w:val="00621AA6"/>
    <w:rsid w:val="006355C7"/>
    <w:rsid w:val="00635B31"/>
    <w:rsid w:val="00636F30"/>
    <w:rsid w:val="00643C5C"/>
    <w:rsid w:val="0065525C"/>
    <w:rsid w:val="00672CBF"/>
    <w:rsid w:val="00676615"/>
    <w:rsid w:val="00680C2D"/>
    <w:rsid w:val="00691CF1"/>
    <w:rsid w:val="00692516"/>
    <w:rsid w:val="00696A1A"/>
    <w:rsid w:val="006A0D04"/>
    <w:rsid w:val="006B3A0B"/>
    <w:rsid w:val="006B44ED"/>
    <w:rsid w:val="006E40C9"/>
    <w:rsid w:val="00711581"/>
    <w:rsid w:val="00711B8E"/>
    <w:rsid w:val="007150B0"/>
    <w:rsid w:val="00723F35"/>
    <w:rsid w:val="00727AC4"/>
    <w:rsid w:val="00733D61"/>
    <w:rsid w:val="007368A1"/>
    <w:rsid w:val="00755919"/>
    <w:rsid w:val="00766390"/>
    <w:rsid w:val="00771C2C"/>
    <w:rsid w:val="00787F5C"/>
    <w:rsid w:val="007A1A25"/>
    <w:rsid w:val="007D7F28"/>
    <w:rsid w:val="007E0A0F"/>
    <w:rsid w:val="007F1243"/>
    <w:rsid w:val="00803765"/>
    <w:rsid w:val="00812258"/>
    <w:rsid w:val="0082111D"/>
    <w:rsid w:val="00821EBB"/>
    <w:rsid w:val="008247C9"/>
    <w:rsid w:val="00830A30"/>
    <w:rsid w:val="008332ED"/>
    <w:rsid w:val="0084032F"/>
    <w:rsid w:val="00843E27"/>
    <w:rsid w:val="00846CA0"/>
    <w:rsid w:val="00850E9C"/>
    <w:rsid w:val="0085700D"/>
    <w:rsid w:val="00860AA7"/>
    <w:rsid w:val="00863B59"/>
    <w:rsid w:val="008832F9"/>
    <w:rsid w:val="00883CB8"/>
    <w:rsid w:val="00892720"/>
    <w:rsid w:val="00893501"/>
    <w:rsid w:val="00894D06"/>
    <w:rsid w:val="008B3080"/>
    <w:rsid w:val="008C2A00"/>
    <w:rsid w:val="008E1033"/>
    <w:rsid w:val="008F1C30"/>
    <w:rsid w:val="0090621F"/>
    <w:rsid w:val="00911B95"/>
    <w:rsid w:val="00911FB3"/>
    <w:rsid w:val="009209E2"/>
    <w:rsid w:val="00937054"/>
    <w:rsid w:val="0094058D"/>
    <w:rsid w:val="009408D6"/>
    <w:rsid w:val="009447C7"/>
    <w:rsid w:val="00960928"/>
    <w:rsid w:val="00963342"/>
    <w:rsid w:val="00971DC7"/>
    <w:rsid w:val="00977DFF"/>
    <w:rsid w:val="00987E0E"/>
    <w:rsid w:val="00995329"/>
    <w:rsid w:val="009A10C3"/>
    <w:rsid w:val="009A3701"/>
    <w:rsid w:val="009C7866"/>
    <w:rsid w:val="009D418A"/>
    <w:rsid w:val="009F519E"/>
    <w:rsid w:val="00A04F66"/>
    <w:rsid w:val="00A22CF2"/>
    <w:rsid w:val="00A262D7"/>
    <w:rsid w:val="00A50D45"/>
    <w:rsid w:val="00A54836"/>
    <w:rsid w:val="00A6099E"/>
    <w:rsid w:val="00A645CA"/>
    <w:rsid w:val="00A7114B"/>
    <w:rsid w:val="00A76AA1"/>
    <w:rsid w:val="00A91A6B"/>
    <w:rsid w:val="00A91DEC"/>
    <w:rsid w:val="00AA7948"/>
    <w:rsid w:val="00AB2782"/>
    <w:rsid w:val="00AB67C1"/>
    <w:rsid w:val="00AD05A7"/>
    <w:rsid w:val="00AD6D1E"/>
    <w:rsid w:val="00AD783B"/>
    <w:rsid w:val="00AE7551"/>
    <w:rsid w:val="00B02156"/>
    <w:rsid w:val="00B0396C"/>
    <w:rsid w:val="00B10925"/>
    <w:rsid w:val="00B11924"/>
    <w:rsid w:val="00B11AB5"/>
    <w:rsid w:val="00B17CD7"/>
    <w:rsid w:val="00B23F3E"/>
    <w:rsid w:val="00B24B07"/>
    <w:rsid w:val="00B25ED8"/>
    <w:rsid w:val="00B342CB"/>
    <w:rsid w:val="00B57760"/>
    <w:rsid w:val="00B57E41"/>
    <w:rsid w:val="00B73E9B"/>
    <w:rsid w:val="00B742DB"/>
    <w:rsid w:val="00B80FEE"/>
    <w:rsid w:val="00BA131E"/>
    <w:rsid w:val="00BA3947"/>
    <w:rsid w:val="00BC660F"/>
    <w:rsid w:val="00BD6DB5"/>
    <w:rsid w:val="00C02674"/>
    <w:rsid w:val="00C027CE"/>
    <w:rsid w:val="00C22121"/>
    <w:rsid w:val="00C2356B"/>
    <w:rsid w:val="00C46599"/>
    <w:rsid w:val="00C5132E"/>
    <w:rsid w:val="00C66D2B"/>
    <w:rsid w:val="00C80DB8"/>
    <w:rsid w:val="00C87078"/>
    <w:rsid w:val="00C94436"/>
    <w:rsid w:val="00C96DE2"/>
    <w:rsid w:val="00CB64D2"/>
    <w:rsid w:val="00CC10F3"/>
    <w:rsid w:val="00CD0CCF"/>
    <w:rsid w:val="00CD24C8"/>
    <w:rsid w:val="00CD2D90"/>
    <w:rsid w:val="00CD3DD7"/>
    <w:rsid w:val="00D36459"/>
    <w:rsid w:val="00D460FE"/>
    <w:rsid w:val="00D55FA0"/>
    <w:rsid w:val="00D606F7"/>
    <w:rsid w:val="00D61752"/>
    <w:rsid w:val="00D661EC"/>
    <w:rsid w:val="00D82DA9"/>
    <w:rsid w:val="00D8549F"/>
    <w:rsid w:val="00D85AC0"/>
    <w:rsid w:val="00D95530"/>
    <w:rsid w:val="00DD3E97"/>
    <w:rsid w:val="00DD6FE8"/>
    <w:rsid w:val="00DE5666"/>
    <w:rsid w:val="00DE7F7C"/>
    <w:rsid w:val="00DF1153"/>
    <w:rsid w:val="00DF6505"/>
    <w:rsid w:val="00E00575"/>
    <w:rsid w:val="00E04206"/>
    <w:rsid w:val="00E117C8"/>
    <w:rsid w:val="00E21119"/>
    <w:rsid w:val="00E30818"/>
    <w:rsid w:val="00E32AC8"/>
    <w:rsid w:val="00E54024"/>
    <w:rsid w:val="00E557C4"/>
    <w:rsid w:val="00E60D01"/>
    <w:rsid w:val="00E64F64"/>
    <w:rsid w:val="00E86D89"/>
    <w:rsid w:val="00E957F8"/>
    <w:rsid w:val="00EA056B"/>
    <w:rsid w:val="00ED2E23"/>
    <w:rsid w:val="00ED37AC"/>
    <w:rsid w:val="00ED3FBE"/>
    <w:rsid w:val="00F146F5"/>
    <w:rsid w:val="00F219D4"/>
    <w:rsid w:val="00F231DB"/>
    <w:rsid w:val="00F319DF"/>
    <w:rsid w:val="00F33073"/>
    <w:rsid w:val="00F406A8"/>
    <w:rsid w:val="00F64FBB"/>
    <w:rsid w:val="00F8596A"/>
    <w:rsid w:val="00F90164"/>
    <w:rsid w:val="00F92C53"/>
    <w:rsid w:val="00FA10B7"/>
    <w:rsid w:val="00FB0DAD"/>
    <w:rsid w:val="00FB0F62"/>
    <w:rsid w:val="00FB77DD"/>
    <w:rsid w:val="00FC554E"/>
    <w:rsid w:val="00FD30EB"/>
    <w:rsid w:val="00FD57F9"/>
    <w:rsid w:val="00FD749F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5F18"/>
  <w15:chartTrackingRefBased/>
  <w15:docId w15:val="{0695D4B0-62EB-400C-A589-FF808F68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1">
    <w:name w:val="Grid Table 5 Dark Accent 1"/>
    <w:basedOn w:val="TableNormal"/>
    <w:uiPriority w:val="50"/>
    <w:rsid w:val="003679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3F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5920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B24B07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2369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723F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EB"/>
    <w:rPr>
      <w:rFonts w:ascii="Segoe UI" w:hAnsi="Segoe UI" w:cs="Segoe UI"/>
      <w:sz w:val="18"/>
      <w:szCs w:val="18"/>
    </w:rPr>
  </w:style>
  <w:style w:type="table" w:styleId="GridTable4-Accent5">
    <w:name w:val="Grid Table 4 Accent 5"/>
    <w:basedOn w:val="TableNormal"/>
    <w:uiPriority w:val="49"/>
    <w:rsid w:val="00D55F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528"/>
  </w:style>
  <w:style w:type="paragraph" w:styleId="Footer">
    <w:name w:val="footer"/>
    <w:basedOn w:val="Normal"/>
    <w:link w:val="FooterChar"/>
    <w:uiPriority w:val="99"/>
    <w:unhideWhenUsed/>
    <w:rsid w:val="00073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528"/>
  </w:style>
  <w:style w:type="character" w:customStyle="1" w:styleId="Heading1Char">
    <w:name w:val="Heading 1 Char"/>
    <w:basedOn w:val="DefaultParagraphFont"/>
    <w:link w:val="Heading1"/>
    <w:uiPriority w:val="9"/>
    <w:rsid w:val="009F51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F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3FB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passplus.org/LaunchBoard/Student-Success-Metrics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tsac.edu/governance/trustees/apbp/AP325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alpassplus.org/LaunchBoard/Student-Success-Metric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liforniacommunitycolleges.cccco.edu/portals/0/reports/vision-for-succes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BE4CE-A7FC-42A6-85C3-AE11CD4A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Chancellor’s Vision for Success Goals Mapped to College Goals and Indicators</vt:lpstr>
    </vt:vector>
  </TitlesOfParts>
  <Company>Mt. San Antonio College</Company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Chancellor’s Vision for Success Goals Mapped to College Goals and Indicators</dc:title>
  <dc:subject>Goal Setting</dc:subject>
  <dc:creator>Barbara McNeice-Stallard</dc:creator>
  <cp:keywords>Goal Setting</cp:keywords>
  <dc:description/>
  <cp:lastModifiedBy>McNeice-Stallard, Barbara</cp:lastModifiedBy>
  <cp:revision>25</cp:revision>
  <cp:lastPrinted>2019-03-04T20:46:00Z</cp:lastPrinted>
  <dcterms:created xsi:type="dcterms:W3CDTF">2019-03-04T18:32:00Z</dcterms:created>
  <dcterms:modified xsi:type="dcterms:W3CDTF">2019-03-12T15:32:00Z</dcterms:modified>
</cp:coreProperties>
</file>