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2739C3" w:rsidTr="002739C3">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2739C3">
              <w:trPr>
                <w:jc w:val="center"/>
              </w:trPr>
              <w:tc>
                <w:tcPr>
                  <w:tcW w:w="0" w:type="auto"/>
                  <w:shd w:val="clear" w:color="auto" w:fill="FFFFFF"/>
                  <w:vAlign w:val="center"/>
                  <w:hideMark/>
                </w:tcPr>
                <w:tbl>
                  <w:tblPr>
                    <w:tblW w:w="9300" w:type="dxa"/>
                    <w:jc w:val="center"/>
                    <w:tblCellMar>
                      <w:left w:w="0" w:type="dxa"/>
                      <w:right w:w="0" w:type="dxa"/>
                    </w:tblCellMar>
                    <w:tblLook w:val="04A0" w:firstRow="1" w:lastRow="0" w:firstColumn="1" w:lastColumn="0" w:noHBand="0" w:noVBand="1"/>
                  </w:tblPr>
                  <w:tblGrid>
                    <w:gridCol w:w="9300"/>
                  </w:tblGrid>
                  <w:tr w:rsidR="002739C3">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150"/>
                        </w:tblGrid>
                        <w:tr w:rsidR="002739C3">
                          <w:trPr>
                            <w:jc w:val="center"/>
                          </w:trPr>
                          <w:tc>
                            <w:tcPr>
                              <w:tcW w:w="0" w:type="auto"/>
                              <w:shd w:val="clear" w:color="auto" w:fill="717070"/>
                              <w:tcMar>
                                <w:top w:w="15" w:type="dxa"/>
                                <w:left w:w="15" w:type="dxa"/>
                                <w:bottom w:w="15" w:type="dxa"/>
                                <w:right w:w="15" w:type="dxa"/>
                              </w:tcMar>
                              <w:hideMark/>
                            </w:tcPr>
                            <w:tbl>
                              <w:tblPr>
                                <w:tblW w:w="5000" w:type="pct"/>
                                <w:jc w:val="center"/>
                                <w:shd w:val="clear" w:color="auto" w:fill="717070"/>
                                <w:tblCellMar>
                                  <w:left w:w="0" w:type="dxa"/>
                                  <w:right w:w="0" w:type="dxa"/>
                                </w:tblCellMar>
                                <w:tblLook w:val="04A0" w:firstRow="1" w:lastRow="0" w:firstColumn="1" w:lastColumn="0" w:noHBand="0" w:noVBand="1"/>
                              </w:tblPr>
                              <w:tblGrid>
                                <w:gridCol w:w="9120"/>
                              </w:tblGrid>
                              <w:tr w:rsidR="002739C3">
                                <w:trPr>
                                  <w:jc w:val="center"/>
                                </w:trPr>
                                <w:tc>
                                  <w:tcPr>
                                    <w:tcW w:w="0" w:type="auto"/>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8970"/>
                                    </w:tblGrid>
                                    <w:tr w:rsidR="002739C3">
                                      <w:tc>
                                        <w:tcPr>
                                          <w:tcW w:w="0" w:type="auto"/>
                                          <w:shd w:val="clear" w:color="auto" w:fill="717070"/>
                                          <w:tcMar>
                                            <w:top w:w="15" w:type="dxa"/>
                                            <w:left w:w="15" w:type="dxa"/>
                                            <w:bottom w:w="15" w:type="dxa"/>
                                            <w:right w:w="15" w:type="dxa"/>
                                          </w:tcMar>
                                          <w:hideMark/>
                                        </w:tcPr>
                                        <w:tbl>
                                          <w:tblPr>
                                            <w:tblW w:w="5000" w:type="pct"/>
                                            <w:jc w:val="center"/>
                                            <w:tblCellMar>
                                              <w:left w:w="0" w:type="dxa"/>
                                              <w:right w:w="0" w:type="dxa"/>
                                            </w:tblCellMar>
                                            <w:tblLook w:val="04A0" w:firstRow="1" w:lastRow="0" w:firstColumn="1" w:lastColumn="0" w:noHBand="0" w:noVBand="1"/>
                                          </w:tblPr>
                                          <w:tblGrid>
                                            <w:gridCol w:w="8940"/>
                                          </w:tblGrid>
                                          <w:tr w:rsidR="002739C3">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8940"/>
                                                </w:tblGrid>
                                                <w:tr w:rsidR="002739C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739C3">
                                                        <w:tc>
                                                          <w:tcPr>
                                                            <w:tcW w:w="0" w:type="auto"/>
                                                            <w:hideMark/>
                                                          </w:tcPr>
                                                          <w:tbl>
                                                            <w:tblPr>
                                                              <w:tblW w:w="5000" w:type="pct"/>
                                                              <w:jc w:val="center"/>
                                                              <w:tblLook w:val="04A0" w:firstRow="1" w:lastRow="0" w:firstColumn="1" w:lastColumn="0" w:noHBand="0" w:noVBand="1"/>
                                                            </w:tblPr>
                                                            <w:tblGrid>
                                                              <w:gridCol w:w="8940"/>
                                                            </w:tblGrid>
                                                            <w:tr w:rsidR="002739C3">
                                                              <w:trPr>
                                                                <w:jc w:val="center"/>
                                                              </w:trPr>
                                                              <w:tc>
                                                                <w:tcPr>
                                                                  <w:tcW w:w="5000" w:type="pct"/>
                                                                  <w:tcMar>
                                                                    <w:top w:w="135" w:type="dxa"/>
                                                                    <w:left w:w="0" w:type="dxa"/>
                                                                    <w:bottom w:w="165" w:type="dxa"/>
                                                                    <w:right w:w="0" w:type="dxa"/>
                                                                  </w:tcMar>
                                                                  <w:hideMark/>
                                                                </w:tcPr>
                                                                <w:tbl>
                                                                  <w:tblPr>
                                                                    <w:tblW w:w="4850" w:type="pct"/>
                                                                    <w:jc w:val="center"/>
                                                                    <w:tblCellMar>
                                                                      <w:left w:w="0" w:type="dxa"/>
                                                                      <w:right w:w="0" w:type="dxa"/>
                                                                    </w:tblCellMar>
                                                                    <w:tblLook w:val="04A0" w:firstRow="1" w:lastRow="0" w:firstColumn="1" w:lastColumn="0" w:noHBand="0" w:noVBand="1"/>
                                                                  </w:tblPr>
                                                                  <w:tblGrid>
                                                                    <w:gridCol w:w="8672"/>
                                                                  </w:tblGrid>
                                                                  <w:tr w:rsidR="002739C3">
                                                                    <w:trPr>
                                                                      <w:trHeight w:val="15"/>
                                                                      <w:jc w:val="center"/>
                                                                    </w:trPr>
                                                                    <w:tc>
                                                                      <w:tcPr>
                                                                        <w:tcW w:w="0" w:type="auto"/>
                                                                        <w:shd w:val="clear" w:color="auto" w:fill="294B93"/>
                                                                        <w:tcMar>
                                                                          <w:top w:w="0" w:type="dxa"/>
                                                                          <w:left w:w="0" w:type="dxa"/>
                                                                          <w:bottom w:w="615" w:type="dxa"/>
                                                                          <w:right w:w="0" w:type="dxa"/>
                                                                        </w:tcMar>
                                                                        <w:vAlign w:val="center"/>
                                                                        <w:hideMark/>
                                                                      </w:tcPr>
                                                                      <w:p w:rsidR="002739C3" w:rsidRDefault="002739C3">
                                                                        <w:pPr>
                                                                          <w:spacing w:line="15" w:lineRule="atLeast"/>
                                                                          <w:jc w:val="center"/>
                                                                          <w:rPr>
                                                                            <w:rFonts w:eastAsia="Times New Roman"/>
                                                                          </w:rPr>
                                                                        </w:pPr>
                                                                        <w:r>
                                                                          <w:rPr>
                                                                            <w:rFonts w:eastAsia="Times New Roman"/>
                                                                            <w:noProof/>
                                                                          </w:rPr>
                                                                          <w:drawing>
                                                                            <wp:inline distT="0" distB="0" distL="0" distR="0">
                                                                              <wp:extent cx="48895" cy="8890"/>
                                                                              <wp:effectExtent l="0" t="0" r="0" b="0"/>
                                                                              <wp:docPr id="3" name="Picture 3"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1101116784221/S.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895" cy="8890"/>
                                                                                      </a:xfrm>
                                                                                      <a:prstGeom prst="rect">
                                                                                        <a:avLst/>
                                                                                      </a:prstGeom>
                                                                                      <a:noFill/>
                                                                                      <a:ln>
                                                                                        <a:noFill/>
                                                                                      </a:ln>
                                                                                    </pic:spPr>
                                                                                  </pic:pic>
                                                                                </a:graphicData>
                                                                              </a:graphic>
                                                                            </wp:inline>
                                                                          </w:drawing>
                                                                        </w:r>
                                                                      </w:p>
                                                                    </w:tc>
                                                                  </w:tr>
                                                                </w:tbl>
                                                                <w:p w:rsidR="002739C3" w:rsidRDefault="002739C3">
                                                                  <w:pPr>
                                                                    <w:jc w:val="center"/>
                                                                    <w:rPr>
                                                                      <w:rFonts w:eastAsia="Times New Roman"/>
                                                                      <w:sz w:val="20"/>
                                                                      <w:szCs w:val="20"/>
                                                                    </w:rPr>
                                                                  </w:pPr>
                                                                </w:p>
                                                              </w:tc>
                                                            </w:tr>
                                                          </w:tbl>
                                                          <w:p w:rsidR="002739C3" w:rsidRDefault="002739C3">
                                                            <w:pPr>
                                                              <w:jc w:val="center"/>
                                                              <w:rPr>
                                                                <w:rFonts w:eastAsia="Times New Roman"/>
                                                                <w:sz w:val="20"/>
                                                                <w:szCs w:val="20"/>
                                                              </w:rPr>
                                                            </w:pPr>
                                                          </w:p>
                                                        </w:tc>
                                                      </w:tr>
                                                    </w:tbl>
                                                    <w:p w:rsidR="002739C3" w:rsidRDefault="002739C3">
                                                      <w:pPr>
                                                        <w:rPr>
                                                          <w:rFonts w:eastAsia="Times New Roman"/>
                                                          <w:sz w:val="20"/>
                                                          <w:szCs w:val="20"/>
                                                        </w:rPr>
                                                      </w:pPr>
                                                    </w:p>
                                                  </w:tc>
                                                </w:tr>
                                              </w:tbl>
                                              <w:p w:rsidR="002739C3" w:rsidRDefault="002739C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940"/>
                                                </w:tblGrid>
                                                <w:tr w:rsidR="002739C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739C3">
                                                        <w:tc>
                                                          <w:tcPr>
                                                            <w:tcW w:w="0" w:type="auto"/>
                                                            <w:tcMar>
                                                              <w:top w:w="150" w:type="dxa"/>
                                                              <w:left w:w="0" w:type="dxa"/>
                                                              <w:bottom w:w="150" w:type="dxa"/>
                                                              <w:right w:w="0" w:type="dxa"/>
                                                            </w:tcMar>
                                                            <w:hideMark/>
                                                          </w:tcPr>
                                                          <w:p w:rsidR="002739C3" w:rsidRDefault="002739C3">
                                                            <w:pPr>
                                                              <w:jc w:val="center"/>
                                                              <w:rPr>
                                                                <w:rFonts w:eastAsia="Times New Roman"/>
                                                              </w:rPr>
                                                            </w:pPr>
                                                            <w:r>
                                                              <w:rPr>
                                                                <w:rFonts w:eastAsia="Times New Roman"/>
                                                                <w:noProof/>
                                                              </w:rPr>
                                                              <w:drawing>
                                                                <wp:inline distT="0" distB="0" distL="0" distR="0">
                                                                  <wp:extent cx="5389245" cy="1201420"/>
                                                                  <wp:effectExtent l="0" t="0" r="1905" b="0"/>
                                                                  <wp:docPr id="2" name="Picture 2" descr="http://files.constantcontact.com/c8ec8522701/6bd090d4-0126-494c-85e7-2813c3dd2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c8ec8522701/6bd090d4-0126-494c-85e7-2813c3dd22a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9245" cy="1201420"/>
                                                                          </a:xfrm>
                                                                          <a:prstGeom prst="rect">
                                                                            <a:avLst/>
                                                                          </a:prstGeom>
                                                                          <a:noFill/>
                                                                          <a:ln>
                                                                            <a:noFill/>
                                                                          </a:ln>
                                                                        </pic:spPr>
                                                                      </pic:pic>
                                                                    </a:graphicData>
                                                                  </a:graphic>
                                                                </wp:inline>
                                                              </w:drawing>
                                                            </w:r>
                                                          </w:p>
                                                        </w:tc>
                                                      </w:tr>
                                                    </w:tbl>
                                                    <w:p w:rsidR="002739C3" w:rsidRDefault="002739C3">
                                                      <w:pPr>
                                                        <w:rPr>
                                                          <w:rFonts w:eastAsia="Times New Roman"/>
                                                          <w:sz w:val="20"/>
                                                          <w:szCs w:val="20"/>
                                                        </w:rPr>
                                                      </w:pPr>
                                                    </w:p>
                                                  </w:tc>
                                                </w:tr>
                                              </w:tbl>
                                              <w:p w:rsidR="002739C3" w:rsidRDefault="002739C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940"/>
                                                </w:tblGrid>
                                                <w:tr w:rsidR="002739C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739C3">
                                                        <w:tc>
                                                          <w:tcPr>
                                                            <w:tcW w:w="0" w:type="auto"/>
                                                            <w:tcMar>
                                                              <w:top w:w="150" w:type="dxa"/>
                                                              <w:left w:w="300" w:type="dxa"/>
                                                              <w:bottom w:w="150" w:type="dxa"/>
                                                              <w:right w:w="300" w:type="dxa"/>
                                                            </w:tcMar>
                                                          </w:tcPr>
                                                          <w:p w:rsidR="002739C3" w:rsidRDefault="002739C3">
                                                            <w:pPr>
                                                              <w:jc w:val="right"/>
                                                              <w:rPr>
                                                                <w:rFonts w:ascii="Helvetica" w:eastAsia="Times New Roman" w:hAnsi="Helvetica" w:cs="Helvetica"/>
                                                                <w:color w:val="717070"/>
                                                                <w:sz w:val="21"/>
                                                                <w:szCs w:val="21"/>
                                                              </w:rPr>
                                                            </w:pPr>
                                                            <w:r>
                                                              <w:rPr>
                                                                <w:rFonts w:ascii="Trebuchet MS" w:eastAsia="Times New Roman" w:hAnsi="Trebuchet MS" w:cs="Helvetica"/>
                                                                <w:b/>
                                                                <w:bCs/>
                                                                <w:i/>
                                                                <w:iCs/>
                                                                <w:color w:val="000000"/>
                                                                <w:sz w:val="21"/>
                                                                <w:szCs w:val="21"/>
                                                              </w:rPr>
                                                              <w:t>January 18, 2019</w:t>
                                                            </w:r>
                                                          </w:p>
                                                          <w:p w:rsidR="002739C3" w:rsidRDefault="002739C3">
                                                            <w:pPr>
                                                              <w:rPr>
                                                                <w:rFonts w:ascii="Helvetica" w:eastAsia="Times New Roman" w:hAnsi="Helvetica" w:cs="Helvetica"/>
                                                                <w:color w:val="717070"/>
                                                                <w:sz w:val="21"/>
                                                                <w:szCs w:val="21"/>
                                                              </w:rPr>
                                                            </w:pPr>
                                                          </w:p>
                                                          <w:p w:rsidR="002739C3" w:rsidRDefault="002739C3">
                                                            <w:pPr>
                                                              <w:rPr>
                                                                <w:rFonts w:ascii="Helvetica" w:eastAsia="Times New Roman" w:hAnsi="Helvetica" w:cs="Helvetica"/>
                                                                <w:color w:val="717070"/>
                                                                <w:sz w:val="21"/>
                                                                <w:szCs w:val="21"/>
                                                              </w:rPr>
                                                            </w:pPr>
                                                            <w:r>
                                                              <w:rPr>
                                                                <w:rFonts w:ascii="Trebuchet MS" w:eastAsia="Times New Roman" w:hAnsi="Trebuchet MS" w:cs="Helvetica"/>
                                                                <w:b/>
                                                                <w:bCs/>
                                                                <w:color w:val="333333"/>
                                                                <w:sz w:val="21"/>
                                                                <w:szCs w:val="21"/>
                                                              </w:rPr>
                                                              <w:t>LAO Releases Its Overview of the Governor’s 2019-20 Budget Proposal</w:t>
                                                            </w:r>
                                                          </w:p>
                                                          <w:p w:rsidR="002739C3" w:rsidRDefault="002739C3">
                                                            <w:pPr>
                                                              <w:rPr>
                                                                <w:rFonts w:ascii="Helvetica" w:eastAsia="Times New Roman" w:hAnsi="Helvetica" w:cs="Helvetica"/>
                                                                <w:color w:val="717070"/>
                                                                <w:sz w:val="21"/>
                                                                <w:szCs w:val="21"/>
                                                              </w:rPr>
                                                            </w:pPr>
                                                          </w:p>
                                                          <w:p w:rsidR="002739C3" w:rsidRDefault="002739C3">
                                                            <w:pPr>
                                                              <w:rPr>
                                                                <w:rFonts w:ascii="Helvetica" w:eastAsia="Times New Roman" w:hAnsi="Helvetica" w:cs="Helvetica"/>
                                                                <w:color w:val="717070"/>
                                                                <w:sz w:val="21"/>
                                                                <w:szCs w:val="21"/>
                                                              </w:rPr>
                                                            </w:pPr>
                                                            <w:r>
                                                              <w:rPr>
                                                                <w:rFonts w:ascii="Trebuchet MS" w:eastAsia="Times New Roman" w:hAnsi="Trebuchet MS" w:cs="Helvetica"/>
                                                                <w:color w:val="333333"/>
                                                                <w:sz w:val="21"/>
                                                                <w:szCs w:val="21"/>
                                                              </w:rPr>
                                                              <w:t>On Monday, January 14, 2019, the Legislative Analyst’s Office (LAO), the Legislature’s nonpartisan policy and fiscal advisor, released its </w:t>
                                                            </w:r>
                                                            <w:hyperlink r:id="rId6" w:tgtFrame="_blank" w:history="1">
                                                              <w:r>
                                                                <w:rPr>
                                                                  <w:rStyle w:val="Hyperlink"/>
                                                                  <w:rFonts w:ascii="Trebuchet MS" w:eastAsia="Times New Roman" w:hAnsi="Trebuchet MS" w:cs="Helvetica"/>
                                                                  <w:b/>
                                                                  <w:bCs/>
                                                                  <w:color w:val="0525F7"/>
                                                                  <w:sz w:val="21"/>
                                                                  <w:szCs w:val="21"/>
                                                                </w:rPr>
                                                                <w:t>overview</w:t>
                                                              </w:r>
                                                            </w:hyperlink>
                                                            <w:r>
                                                              <w:rPr>
                                                                <w:rFonts w:ascii="Trebuchet MS" w:eastAsia="Times New Roman" w:hAnsi="Trebuchet MS" w:cs="Helvetica"/>
                                                                <w:color w:val="333333"/>
                                                                <w:sz w:val="21"/>
                                                                <w:szCs w:val="21"/>
                                                              </w:rPr>
                                                              <w:t> of the Governor’s Budget proposal. The overview acts as a preview of its more detailed program-specific analyses, which are usually released in February.</w:t>
                                                            </w:r>
                                                            <w:r>
                                                              <w:rPr>
                                                                <w:rFonts w:ascii="Helvetica" w:eastAsia="Times New Roman" w:hAnsi="Helvetica" w:cs="Helvetica"/>
                                                                <w:color w:val="717070"/>
                                                                <w:sz w:val="21"/>
                                                                <w:szCs w:val="21"/>
                                                              </w:rPr>
                                                              <w:t xml:space="preserve"> </w:t>
                                                            </w:r>
                                                          </w:p>
                                                          <w:p w:rsidR="002739C3" w:rsidRDefault="002739C3">
                                                            <w:pPr>
                                                              <w:rPr>
                                                                <w:rFonts w:ascii="Helvetica" w:eastAsia="Times New Roman" w:hAnsi="Helvetica" w:cs="Helvetica"/>
                                                                <w:color w:val="717070"/>
                                                                <w:sz w:val="21"/>
                                                                <w:szCs w:val="21"/>
                                                              </w:rPr>
                                                            </w:pPr>
                                                          </w:p>
                                                          <w:p w:rsidR="002739C3" w:rsidRDefault="002739C3">
                                                            <w:pPr>
                                                              <w:rPr>
                                                                <w:rFonts w:ascii="Helvetica" w:eastAsia="Times New Roman" w:hAnsi="Helvetica" w:cs="Helvetica"/>
                                                                <w:color w:val="717070"/>
                                                                <w:sz w:val="21"/>
                                                                <w:szCs w:val="21"/>
                                                              </w:rPr>
                                                            </w:pPr>
                                                            <w:r>
                                                              <w:rPr>
                                                                <w:rFonts w:ascii="Trebuchet MS" w:eastAsia="Times New Roman" w:hAnsi="Trebuchet MS" w:cs="Helvetica"/>
                                                                <w:color w:val="333333"/>
                                                                <w:sz w:val="21"/>
                                                                <w:szCs w:val="21"/>
                                                              </w:rPr>
                                                              <w:t>The report highlights Governor Gavin Newsom’s proposed pay down of unfunded pension liabilities. Of this amount, $2.3 billion would go to the community college and K-12 districts’ share of the California State Teachers’ Retirement System (CalSTRS) unfunded liability. Separate from the $2.3 billion pay down, the LAO report notes that the Governor also proposes providing $700 million over the next 2 years ($350 million per year) to provide community college and school districts immediate budget relief in order to reduce districts’ CalSTRS rates in 2019-20 and 2020-21.</w:t>
                                                            </w:r>
                                                          </w:p>
                                                          <w:p w:rsidR="002739C3" w:rsidRDefault="002739C3">
                                                            <w:pPr>
                                                              <w:rPr>
                                                                <w:rFonts w:ascii="Helvetica" w:eastAsia="Times New Roman" w:hAnsi="Helvetica" w:cs="Helvetica"/>
                                                                <w:color w:val="717070"/>
                                                                <w:sz w:val="21"/>
                                                                <w:szCs w:val="21"/>
                                                              </w:rPr>
                                                            </w:pPr>
                                                          </w:p>
                                                          <w:p w:rsidR="002739C3" w:rsidRDefault="002739C3">
                                                            <w:pPr>
                                                              <w:rPr>
                                                                <w:rFonts w:ascii="Helvetica" w:eastAsia="Times New Roman" w:hAnsi="Helvetica" w:cs="Helvetica"/>
                                                                <w:color w:val="717070"/>
                                                                <w:sz w:val="21"/>
                                                                <w:szCs w:val="21"/>
                                                              </w:rPr>
                                                            </w:pPr>
                                                            <w:r>
                                                              <w:rPr>
                                                                <w:rFonts w:ascii="Trebuchet MS" w:eastAsia="Times New Roman" w:hAnsi="Trebuchet MS" w:cs="Helvetica"/>
                                                                <w:color w:val="333333"/>
                                                                <w:sz w:val="21"/>
                                                                <w:szCs w:val="21"/>
                                                              </w:rPr>
                                                              <w:t>The LAO maintains that state revenues in 2018-19 and 2019-20 are lower than the Administration’s estimates by less than $100 million, which makes the LAO and the Administration much closer in their estimates than in years past. Additionally, the LAO states that Governor Newsom’s proposal of $3 billion in ongoing spending was roughly the level of ongoing spending that they predicted the budget could support; however, the LAO warns that recent experience indicates revenues could come in somewhat lower than the estimates made by the Administration.</w:t>
                                                            </w:r>
                                                          </w:p>
                                                          <w:p w:rsidR="002739C3" w:rsidRDefault="002739C3">
                                                            <w:pPr>
                                                              <w:rPr>
                                                                <w:rFonts w:ascii="Helvetica" w:eastAsia="Times New Roman" w:hAnsi="Helvetica" w:cs="Helvetica"/>
                                                                <w:color w:val="717070"/>
                                                                <w:sz w:val="21"/>
                                                                <w:szCs w:val="21"/>
                                                              </w:rPr>
                                                            </w:pPr>
                                                          </w:p>
                                                          <w:p w:rsidR="002739C3" w:rsidRDefault="002739C3">
                                                            <w:pPr>
                                                              <w:rPr>
                                                                <w:rFonts w:ascii="Helvetica" w:eastAsia="Times New Roman" w:hAnsi="Helvetica" w:cs="Helvetica"/>
                                                                <w:color w:val="717070"/>
                                                                <w:sz w:val="21"/>
                                                                <w:szCs w:val="21"/>
                                                              </w:rPr>
                                                            </w:pPr>
                                                            <w:r>
                                                              <w:rPr>
                                                                <w:rFonts w:ascii="Trebuchet MS" w:eastAsia="Times New Roman" w:hAnsi="Trebuchet MS" w:cs="Helvetica"/>
                                                                <w:color w:val="333333"/>
                                                                <w:sz w:val="21"/>
                                                                <w:szCs w:val="21"/>
                                                              </w:rPr>
                                                              <w:t>In the report, the LAO cautions that Proposition 98 funding might be vulnerable to a recession due to a lack of deposit in the Proposition 98 stabilization account and a lack of one-time funds towards the Proposition 98 minimum guarantee in Governor Newsom’s proposal. From 2013-14 through 2018-19, the state has set aside $700 million per year to mitigate the effects of a future drop in the guarantee, reducing the likelihood of cuts to ongoing programs. The LAO states that Governor Newsom’s proposal provides no “cushion” to the Proposition 98 minimum guarantee, supporting approximately $100 million for ongoing program costs with one-time funding, leaving an ongoing shortfall in the 2020-21 budget.</w:t>
                                                            </w:r>
                                                          </w:p>
                                                          <w:p w:rsidR="002739C3" w:rsidRDefault="002739C3" w:rsidP="00997163">
                                                            <w:pPr>
                                                              <w:rPr>
                                                                <w:rFonts w:ascii="Helvetica" w:eastAsia="Times New Roman" w:hAnsi="Helvetica" w:cs="Helvetica"/>
                                                                <w:color w:val="717070"/>
                                                                <w:sz w:val="21"/>
                                                                <w:szCs w:val="21"/>
                                                              </w:rPr>
                                                            </w:pPr>
                                                            <w:bookmarkStart w:id="0" w:name="_GoBack"/>
                                                            <w:bookmarkEnd w:id="0"/>
                                                          </w:p>
                                                        </w:tc>
                                                      </w:tr>
                                                    </w:tbl>
                                                    <w:p w:rsidR="002739C3" w:rsidRDefault="002739C3">
                                                      <w:pPr>
                                                        <w:rPr>
                                                          <w:rFonts w:eastAsia="Times New Roman"/>
                                                          <w:sz w:val="20"/>
                                                          <w:szCs w:val="20"/>
                                                        </w:rPr>
                                                      </w:pPr>
                                                    </w:p>
                                                  </w:tc>
                                                </w:tr>
                                              </w:tbl>
                                              <w:p w:rsidR="002739C3" w:rsidRDefault="002739C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940"/>
                                                </w:tblGrid>
                                                <w:tr w:rsidR="002739C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739C3">
                                                        <w:tc>
                                                          <w:tcPr>
                                                            <w:tcW w:w="0" w:type="auto"/>
                                                            <w:hideMark/>
                                                          </w:tcPr>
                                                          <w:tbl>
                                                            <w:tblPr>
                                                              <w:tblW w:w="5000" w:type="pct"/>
                                                              <w:jc w:val="center"/>
                                                              <w:tblCellMar>
                                                                <w:left w:w="0" w:type="dxa"/>
                                                                <w:right w:w="0" w:type="dxa"/>
                                                              </w:tblCellMar>
                                                              <w:tblLook w:val="04A0" w:firstRow="1" w:lastRow="0" w:firstColumn="1" w:lastColumn="0" w:noHBand="0" w:noVBand="1"/>
                                                            </w:tblPr>
                                                            <w:tblGrid>
                                                              <w:gridCol w:w="8940"/>
                                                            </w:tblGrid>
                                                            <w:tr w:rsidR="002739C3">
                                                              <w:trPr>
                                                                <w:jc w:val="center"/>
                                                              </w:trPr>
                                                              <w:tc>
                                                                <w:tcPr>
                                                                  <w:tcW w:w="5000" w:type="pct"/>
                                                                  <w:tcMar>
                                                                    <w:top w:w="300" w:type="dxa"/>
                                                                    <w:left w:w="0" w:type="dxa"/>
                                                                    <w:bottom w:w="75" w:type="dxa"/>
                                                                    <w:right w:w="0" w:type="dxa"/>
                                                                  </w:tcMar>
                                                                  <w:hideMark/>
                                                                </w:tcPr>
                                                                <w:tbl>
                                                                  <w:tblPr>
                                                                    <w:tblW w:w="4850" w:type="pct"/>
                                                                    <w:jc w:val="center"/>
                                                                    <w:tblCellMar>
                                                                      <w:left w:w="0" w:type="dxa"/>
                                                                      <w:right w:w="0" w:type="dxa"/>
                                                                    </w:tblCellMar>
                                                                    <w:tblLook w:val="04A0" w:firstRow="1" w:lastRow="0" w:firstColumn="1" w:lastColumn="0" w:noHBand="0" w:noVBand="1"/>
                                                                  </w:tblPr>
                                                                  <w:tblGrid>
                                                                    <w:gridCol w:w="8672"/>
                                                                  </w:tblGrid>
                                                                  <w:tr w:rsidR="002739C3">
                                                                    <w:trPr>
                                                                      <w:trHeight w:val="15"/>
                                                                      <w:jc w:val="center"/>
                                                                    </w:trPr>
                                                                    <w:tc>
                                                                      <w:tcPr>
                                                                        <w:tcW w:w="0" w:type="auto"/>
                                                                        <w:shd w:val="clear" w:color="auto" w:fill="294B93"/>
                                                                        <w:tcMar>
                                                                          <w:top w:w="0" w:type="dxa"/>
                                                                          <w:left w:w="0" w:type="dxa"/>
                                                                          <w:bottom w:w="510" w:type="dxa"/>
                                                                          <w:right w:w="0" w:type="dxa"/>
                                                                        </w:tcMar>
                                                                        <w:vAlign w:val="center"/>
                                                                        <w:hideMark/>
                                                                      </w:tcPr>
                                                                      <w:p w:rsidR="002739C3" w:rsidRDefault="002739C3">
                                                                        <w:pPr>
                                                                          <w:spacing w:line="15" w:lineRule="atLeast"/>
                                                                          <w:jc w:val="center"/>
                                                                          <w:rPr>
                                                                            <w:rFonts w:eastAsia="Times New Roman"/>
                                                                          </w:rPr>
                                                                        </w:pPr>
                                                                        <w:r>
                                                                          <w:rPr>
                                                                            <w:rFonts w:eastAsia="Times New Roman"/>
                                                                            <w:noProof/>
                                                                          </w:rPr>
                                                                          <w:drawing>
                                                                            <wp:inline distT="0" distB="0" distL="0" distR="0">
                                                                              <wp:extent cx="48895" cy="8890"/>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sys/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95" cy="8890"/>
                                                                                      </a:xfrm>
                                                                                      <a:prstGeom prst="rect">
                                                                                        <a:avLst/>
                                                                                      </a:prstGeom>
                                                                                      <a:noFill/>
                                                                                      <a:ln>
                                                                                        <a:noFill/>
                                                                                      </a:ln>
                                                                                    </pic:spPr>
                                                                                  </pic:pic>
                                                                                </a:graphicData>
                                                                              </a:graphic>
                                                                            </wp:inline>
                                                                          </w:drawing>
                                                                        </w:r>
                                                                      </w:p>
                                                                    </w:tc>
                                                                  </w:tr>
                                                                </w:tbl>
                                                                <w:p w:rsidR="002739C3" w:rsidRDefault="002739C3">
                                                                  <w:pPr>
                                                                    <w:jc w:val="center"/>
                                                                    <w:rPr>
                                                                      <w:rFonts w:eastAsia="Times New Roman"/>
                                                                      <w:sz w:val="20"/>
                                                                      <w:szCs w:val="20"/>
                                                                    </w:rPr>
                                                                  </w:pPr>
                                                                </w:p>
                                                              </w:tc>
                                                            </w:tr>
                                                          </w:tbl>
                                                          <w:p w:rsidR="002739C3" w:rsidRDefault="002739C3">
                                                            <w:pPr>
                                                              <w:jc w:val="center"/>
                                                              <w:rPr>
                                                                <w:rFonts w:eastAsia="Times New Roman"/>
                                                                <w:sz w:val="20"/>
                                                                <w:szCs w:val="20"/>
                                                              </w:rPr>
                                                            </w:pPr>
                                                          </w:p>
                                                        </w:tc>
                                                      </w:tr>
                                                    </w:tbl>
                                                    <w:p w:rsidR="002739C3" w:rsidRDefault="002739C3">
                                                      <w:pPr>
                                                        <w:rPr>
                                                          <w:rFonts w:eastAsia="Times New Roman"/>
                                                          <w:sz w:val="20"/>
                                                          <w:szCs w:val="20"/>
                                                        </w:rPr>
                                                      </w:pPr>
                                                    </w:p>
                                                  </w:tc>
                                                </w:tr>
                                              </w:tbl>
                                              <w:p w:rsidR="002739C3" w:rsidRDefault="002739C3">
                                                <w:pPr>
                                                  <w:jc w:val="center"/>
                                                  <w:rPr>
                                                    <w:rFonts w:eastAsia="Times New Roman"/>
                                                    <w:sz w:val="20"/>
                                                    <w:szCs w:val="20"/>
                                                  </w:rPr>
                                                </w:pPr>
                                              </w:p>
                                            </w:tc>
                                          </w:tr>
                                        </w:tbl>
                                        <w:p w:rsidR="002739C3" w:rsidRDefault="002739C3">
                                          <w:pPr>
                                            <w:jc w:val="center"/>
                                            <w:rPr>
                                              <w:rFonts w:eastAsia="Times New Roman"/>
                                              <w:sz w:val="20"/>
                                              <w:szCs w:val="20"/>
                                            </w:rPr>
                                          </w:pPr>
                                        </w:p>
                                      </w:tc>
                                    </w:tr>
                                  </w:tbl>
                                  <w:p w:rsidR="002739C3" w:rsidRDefault="002739C3">
                                    <w:pPr>
                                      <w:rPr>
                                        <w:rFonts w:eastAsia="Times New Roman"/>
                                        <w:sz w:val="20"/>
                                        <w:szCs w:val="20"/>
                                      </w:rPr>
                                    </w:pPr>
                                  </w:p>
                                </w:tc>
                              </w:tr>
                            </w:tbl>
                            <w:p w:rsidR="002739C3" w:rsidRDefault="002739C3">
                              <w:pPr>
                                <w:jc w:val="center"/>
                                <w:rPr>
                                  <w:rFonts w:eastAsia="Times New Roman"/>
                                  <w:sz w:val="20"/>
                                  <w:szCs w:val="20"/>
                                </w:rPr>
                              </w:pPr>
                            </w:p>
                          </w:tc>
                        </w:tr>
                      </w:tbl>
                      <w:p w:rsidR="002739C3" w:rsidRDefault="002739C3">
                        <w:pPr>
                          <w:jc w:val="center"/>
                          <w:rPr>
                            <w:rFonts w:eastAsia="Times New Roman"/>
                            <w:sz w:val="20"/>
                            <w:szCs w:val="20"/>
                          </w:rPr>
                        </w:pPr>
                      </w:p>
                    </w:tc>
                  </w:tr>
                </w:tbl>
                <w:p w:rsidR="002739C3" w:rsidRDefault="002739C3">
                  <w:pPr>
                    <w:jc w:val="center"/>
                    <w:rPr>
                      <w:rFonts w:eastAsia="Times New Roman"/>
                      <w:sz w:val="20"/>
                      <w:szCs w:val="20"/>
                    </w:rPr>
                  </w:pPr>
                </w:p>
              </w:tc>
            </w:tr>
          </w:tbl>
          <w:p w:rsidR="002739C3" w:rsidRDefault="002739C3">
            <w:pPr>
              <w:jc w:val="center"/>
              <w:rPr>
                <w:rFonts w:eastAsia="Times New Roman"/>
                <w:sz w:val="20"/>
                <w:szCs w:val="20"/>
              </w:rPr>
            </w:pPr>
          </w:p>
        </w:tc>
      </w:tr>
    </w:tbl>
    <w:p w:rsidR="00C008EC" w:rsidRDefault="00C008EC"/>
    <w:sectPr w:rsidR="00C008EC" w:rsidSect="00997163">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C3"/>
    <w:rsid w:val="002739C3"/>
    <w:rsid w:val="00997163"/>
    <w:rsid w:val="00C0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796A"/>
  <w15:chartTrackingRefBased/>
  <w15:docId w15:val="{834D1DA5-BB15-45AE-B9D4-BB2198C5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9C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3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LDMYrSjW-n4-oe9QcuDybxv-oCWNKVR-x1F0xbrXR8887EDd6Aj_mlpmEsCD1soWouQLhgepwzLuS6_0DibALUj-slIdWLWQ5BfoVEZKBUnVYBCheVuoT0pVOb6gGZF9GX9CAH69gNBcl2ZrokOXr3iI50zuH3NIRjxRH3KglPe9n1xRiDFVz5_g3Rq6ks3P2zO6B6jYRnG0JUQLJAxdNeSj2m2ULeLBX94yamOrlI4sWg2eeHEwpLUIXGjYG0jqGJybix3mNTE=&amp;c=KaXYbJs772639YpR0rBWXoRUrvJYf-stoT1D8gnA9Pppu3WMf-t1Cg==&amp;ch=J_C5mRlzT5vNGdzaSe_X_8I3Oxmd26AZfMj-0cPUVJAldr7-3W6F1g==" TargetMode="External"/><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Chen</dc:creator>
  <cp:keywords/>
  <dc:description/>
  <cp:lastModifiedBy>Lina Chen</cp:lastModifiedBy>
  <cp:revision>2</cp:revision>
  <dcterms:created xsi:type="dcterms:W3CDTF">2019-01-19T01:24:00Z</dcterms:created>
  <dcterms:modified xsi:type="dcterms:W3CDTF">2019-01-19T01:26:00Z</dcterms:modified>
</cp:coreProperties>
</file>