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7726" w14:textId="570EFEE3" w:rsidR="00EE0477" w:rsidRPr="00AF0584" w:rsidRDefault="00E27EEE">
      <w:pPr>
        <w:tabs>
          <w:tab w:val="left" w:pos="8560"/>
        </w:tabs>
        <w:spacing w:after="0" w:line="232" w:lineRule="exact"/>
        <w:ind w:left="267" w:right="247"/>
        <w:jc w:val="center"/>
        <w:rPr>
          <w:rFonts w:eastAsia="Rockwell" w:cstheme="minorHAnsi"/>
          <w:i/>
          <w:szCs w:val="21"/>
        </w:rPr>
      </w:pPr>
      <w:r w:rsidRPr="00AF0584">
        <w:rPr>
          <w:rFonts w:eastAsia="Rockwell" w:cstheme="minorHAnsi"/>
          <w:i/>
          <w:szCs w:val="21"/>
        </w:rPr>
        <w:t xml:space="preserve">Approved: </w:t>
      </w:r>
      <w:r w:rsidR="00551603" w:rsidRPr="00AF0584">
        <w:rPr>
          <w:rFonts w:eastAsia="Rockwell" w:cstheme="minorHAnsi"/>
          <w:i/>
          <w:szCs w:val="21"/>
        </w:rPr>
        <w:t xml:space="preserve">  </w:t>
      </w:r>
      <w:r w:rsidR="00400186">
        <w:rPr>
          <w:rFonts w:eastAsia="Rockwell" w:cstheme="minorHAnsi"/>
          <w:i/>
          <w:szCs w:val="21"/>
        </w:rPr>
        <w:t>March 2019                                                                                                              Effective: Summer</w:t>
      </w:r>
      <w:r w:rsidR="00551603" w:rsidRPr="00AF0584">
        <w:rPr>
          <w:rFonts w:eastAsia="Rockwell" w:cstheme="minorHAnsi"/>
          <w:i/>
          <w:szCs w:val="21"/>
        </w:rPr>
        <w:t xml:space="preserve"> 201</w:t>
      </w:r>
      <w:r w:rsidR="00400186">
        <w:rPr>
          <w:rFonts w:eastAsia="Rockwell" w:cstheme="minorHAnsi"/>
          <w:i/>
          <w:szCs w:val="21"/>
        </w:rPr>
        <w:t>9</w:t>
      </w:r>
      <w:r w:rsidR="00551603" w:rsidRPr="00AF0584">
        <w:rPr>
          <w:rFonts w:eastAsia="Rockwell" w:cstheme="minorHAnsi"/>
          <w:i/>
          <w:szCs w:val="21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535"/>
        <w:gridCol w:w="1041"/>
      </w:tblGrid>
      <w:tr w:rsidR="00EE0477" w:rsidRPr="00551603" w14:paraId="5EC23A48" w14:textId="77777777" w:rsidTr="00F95B59">
        <w:trPr>
          <w:trHeight w:hRule="exact" w:val="658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15B" w14:textId="77777777" w:rsidR="00EE0477" w:rsidRPr="00AF0584" w:rsidRDefault="00551603">
            <w:pPr>
              <w:spacing w:after="0" w:line="234" w:lineRule="exact"/>
              <w:ind w:left="-1" w:right="-20"/>
              <w:rPr>
                <w:rFonts w:eastAsia="Rockwell" w:cstheme="minorHAnsi"/>
                <w:b/>
                <w:szCs w:val="21"/>
              </w:rPr>
            </w:pPr>
            <w:r w:rsidRPr="00AF0584">
              <w:rPr>
                <w:rFonts w:eastAsia="Rockwell" w:cstheme="minorHAnsi"/>
                <w:b/>
                <w:szCs w:val="21"/>
              </w:rPr>
              <w:t xml:space="preserve"> </w:t>
            </w:r>
          </w:p>
          <w:p w14:paraId="55F6EFF9" w14:textId="7075FD51" w:rsidR="00EE0477" w:rsidRPr="00AF0584" w:rsidRDefault="00AF0584">
            <w:pPr>
              <w:spacing w:after="0" w:line="250" w:lineRule="exact"/>
              <w:ind w:left="65" w:right="-20"/>
              <w:rPr>
                <w:rFonts w:eastAsia="Rockwell" w:cstheme="minorHAnsi"/>
                <w:b/>
                <w:szCs w:val="21"/>
              </w:rPr>
            </w:pPr>
            <w:r>
              <w:rPr>
                <w:rFonts w:eastAsia="Rockwell" w:cstheme="minorHAnsi"/>
                <w:b/>
                <w:szCs w:val="21"/>
              </w:rPr>
              <w:t>TOPICS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AF8" w14:textId="77777777" w:rsidR="00EE0477" w:rsidRPr="00AF0584" w:rsidRDefault="00EE0477">
            <w:pPr>
              <w:spacing w:before="7" w:after="0" w:line="110" w:lineRule="exact"/>
              <w:rPr>
                <w:rFonts w:cstheme="minorHAnsi"/>
                <w:b/>
                <w:szCs w:val="11"/>
              </w:rPr>
            </w:pPr>
          </w:p>
          <w:p w14:paraId="7F29B702" w14:textId="53B82B45" w:rsidR="00EE0477" w:rsidRPr="00AF0584" w:rsidRDefault="00AF0584" w:rsidP="00AF0584">
            <w:pPr>
              <w:spacing w:after="0" w:line="240" w:lineRule="auto"/>
              <w:ind w:left="263" w:right="-20"/>
              <w:rPr>
                <w:rFonts w:eastAsia="Rockwell" w:cstheme="minorHAnsi"/>
                <w:b/>
                <w:szCs w:val="21"/>
              </w:rPr>
            </w:pPr>
            <w:r>
              <w:rPr>
                <w:rFonts w:eastAsia="Rockwell" w:cstheme="minorHAnsi"/>
                <w:b/>
                <w:szCs w:val="21"/>
              </w:rPr>
              <w:t>SECTIONS FROM TEXT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B7AA" w14:textId="77777777" w:rsidR="00EE0477" w:rsidRPr="00AF0584" w:rsidRDefault="00551603">
            <w:pPr>
              <w:spacing w:after="0" w:line="234" w:lineRule="exact"/>
              <w:ind w:left="-1" w:right="-20"/>
              <w:rPr>
                <w:rFonts w:eastAsia="Rockwell" w:cstheme="minorHAnsi"/>
                <w:b/>
                <w:szCs w:val="21"/>
              </w:rPr>
            </w:pPr>
            <w:r w:rsidRPr="00AF0584">
              <w:rPr>
                <w:rFonts w:eastAsia="Rockwell" w:cstheme="minorHAnsi"/>
                <w:b/>
                <w:szCs w:val="21"/>
              </w:rPr>
              <w:t xml:space="preserve"> </w:t>
            </w:r>
          </w:p>
          <w:p w14:paraId="12B90359" w14:textId="4386156F" w:rsidR="00EE0477" w:rsidRPr="00AF0584" w:rsidRDefault="00AF0584" w:rsidP="00AF0584">
            <w:pPr>
              <w:spacing w:after="0" w:line="250" w:lineRule="exact"/>
              <w:ind w:right="-20"/>
              <w:jc w:val="center"/>
              <w:rPr>
                <w:rFonts w:eastAsia="Rockwell" w:cstheme="minorHAnsi"/>
                <w:b/>
                <w:szCs w:val="21"/>
              </w:rPr>
            </w:pPr>
            <w:r>
              <w:rPr>
                <w:rFonts w:eastAsia="Rockwell" w:cstheme="minorHAnsi"/>
                <w:b/>
                <w:szCs w:val="21"/>
              </w:rPr>
              <w:t>TIME LINE</w:t>
            </w:r>
          </w:p>
        </w:tc>
      </w:tr>
      <w:tr w:rsidR="00EE0477" w:rsidRPr="00551603" w14:paraId="7814AAC1" w14:textId="77777777" w:rsidTr="00F95B59">
        <w:trPr>
          <w:trHeight w:hRule="exact" w:val="914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0AA" w14:textId="77777777" w:rsidR="00F95B59" w:rsidRDefault="002C4328" w:rsidP="00F95B59">
            <w:pPr>
              <w:pStyle w:val="NoSpacing"/>
            </w:pPr>
            <w:r>
              <w:t xml:space="preserve">VECTORS AND THE GEOMETRY OF SPACE </w:t>
            </w:r>
          </w:p>
          <w:p w14:paraId="5C42CAE6" w14:textId="7765EBB2" w:rsidR="00EE0477" w:rsidRPr="00F95B59" w:rsidRDefault="002C4328" w:rsidP="00F95B59">
            <w:pPr>
              <w:pStyle w:val="NoSpacing"/>
            </w:pPr>
            <w:r>
              <w:t>Three-Dimensional Coordinate Systems. Vectors. The Dot Product. The Cross Product. Equations of Lines and Planes. Cylinders and Quadric Surfaces.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6A27" w14:textId="5FE1B8E7" w:rsidR="00EE0477" w:rsidRPr="00551603" w:rsidRDefault="002C4328" w:rsidP="00F95B59">
            <w:pPr>
              <w:spacing w:after="0" w:line="225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12.1 – 12.6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9213" w14:textId="1FC582C5" w:rsidR="00EE0477" w:rsidRPr="00551603" w:rsidRDefault="005D28F3" w:rsidP="00F95B59">
            <w:pPr>
              <w:spacing w:after="0" w:line="169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8</w:t>
            </w:r>
            <w:r w:rsidR="002C4328">
              <w:t xml:space="preserve"> hours</w:t>
            </w:r>
          </w:p>
        </w:tc>
      </w:tr>
      <w:tr w:rsidR="00EE0477" w:rsidRPr="00551603" w14:paraId="3178B89E" w14:textId="77777777" w:rsidTr="00F95B59">
        <w:trPr>
          <w:trHeight w:hRule="exact" w:val="986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19C7" w14:textId="77777777" w:rsidR="00F95B59" w:rsidRDefault="002C4328" w:rsidP="00F95B59">
            <w:pPr>
              <w:pStyle w:val="NoSpacing"/>
            </w:pPr>
            <w:r>
              <w:t xml:space="preserve">VECTOR FUNCTIONS </w:t>
            </w:r>
          </w:p>
          <w:p w14:paraId="4BE7B5BC" w14:textId="78C763D0" w:rsidR="00EE0477" w:rsidRPr="00551603" w:rsidRDefault="002C4328" w:rsidP="00F95B59">
            <w:pPr>
              <w:pStyle w:val="NoSpacing"/>
              <w:rPr>
                <w:rFonts w:eastAsia="Rockwell" w:cstheme="minorHAnsi"/>
                <w:szCs w:val="21"/>
              </w:rPr>
            </w:pPr>
            <w:r>
              <w:t>Vector Functions and Space Curves. Derivatives and Integrals of Vector Functions. Arc Length and Curvature. Motion in Space: Velocity and Acceleration.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C309" w14:textId="4ED210FD" w:rsidR="00EE0477" w:rsidRPr="00551603" w:rsidRDefault="002C4328" w:rsidP="00F95B59">
            <w:pPr>
              <w:spacing w:after="0" w:line="225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13.1 – 13.4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B356" w14:textId="5565950B" w:rsidR="00EE0477" w:rsidRPr="00551603" w:rsidRDefault="00F95B59" w:rsidP="00F95B59">
            <w:pPr>
              <w:spacing w:after="0" w:line="225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rPr>
                <w:rFonts w:eastAsia="Rockwell" w:cstheme="minorHAnsi"/>
                <w:szCs w:val="21"/>
              </w:rPr>
              <w:t>8</w:t>
            </w:r>
            <w:r w:rsidR="002C4328">
              <w:t xml:space="preserve"> hours</w:t>
            </w:r>
          </w:p>
        </w:tc>
      </w:tr>
      <w:tr w:rsidR="00EE0477" w:rsidRPr="00551603" w14:paraId="20C02B89" w14:textId="77777777" w:rsidTr="00F95B59">
        <w:trPr>
          <w:trHeight w:hRule="exact" w:val="1346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7CB1" w14:textId="77777777" w:rsidR="00F95B59" w:rsidRDefault="002C4328" w:rsidP="00F95B59">
            <w:pPr>
              <w:pStyle w:val="NoSpacing"/>
            </w:pPr>
            <w:r>
              <w:t xml:space="preserve">PARTIAL DERIVATIVES </w:t>
            </w:r>
          </w:p>
          <w:p w14:paraId="7F4F5F16" w14:textId="70FBE39A" w:rsidR="00EE0477" w:rsidRPr="00551603" w:rsidRDefault="002C4328" w:rsidP="00F95B59">
            <w:pPr>
              <w:pStyle w:val="NoSpacing"/>
              <w:rPr>
                <w:rFonts w:eastAsia="Rockwell" w:cstheme="minorHAnsi"/>
                <w:szCs w:val="21"/>
              </w:rPr>
            </w:pPr>
            <w:r>
              <w:t>Functions of Several Variables. Limits and Continuity. Partial Derivatives. Tangent Planes and Linear Approximations. The Chain Rule. Directional Derivatives and the Gradient Vector. Maximum and Minimum Values. Lagrange Multipliers.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66AA" w14:textId="11FBB282" w:rsidR="00EE0477" w:rsidRPr="00551603" w:rsidRDefault="002C4328" w:rsidP="00F95B59">
            <w:pPr>
              <w:spacing w:after="0" w:line="208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14.1 – 14.8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8FD8" w14:textId="59843537" w:rsidR="00EE0477" w:rsidRPr="00551603" w:rsidRDefault="002C4328" w:rsidP="0048403A">
            <w:pPr>
              <w:spacing w:after="0" w:line="245" w:lineRule="exact"/>
              <w:ind w:right="-20"/>
              <w:jc w:val="center"/>
              <w:rPr>
                <w:rFonts w:eastAsia="Rockwell" w:cstheme="minorHAnsi"/>
                <w:szCs w:val="21"/>
              </w:rPr>
            </w:pPr>
            <w:r>
              <w:t>15 hours</w:t>
            </w:r>
          </w:p>
        </w:tc>
      </w:tr>
      <w:tr w:rsidR="00EE0477" w:rsidRPr="00551603" w14:paraId="2949B6B9" w14:textId="77777777" w:rsidTr="00F95B59">
        <w:trPr>
          <w:trHeight w:hRule="exact" w:val="1544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E6FD" w14:textId="77777777" w:rsidR="00EE0477" w:rsidRPr="00551603" w:rsidRDefault="00EE0477">
            <w:pPr>
              <w:spacing w:before="6" w:after="0" w:line="120" w:lineRule="exact"/>
              <w:rPr>
                <w:rFonts w:cstheme="minorHAnsi"/>
                <w:szCs w:val="12"/>
              </w:rPr>
            </w:pPr>
          </w:p>
          <w:p w14:paraId="0295C68F" w14:textId="77777777" w:rsidR="00F95B59" w:rsidRDefault="002C4328" w:rsidP="00F95B59">
            <w:pPr>
              <w:pStyle w:val="NoSpacing"/>
            </w:pPr>
            <w:r>
              <w:t xml:space="preserve">MULTIPLE INTEGRALS </w:t>
            </w:r>
          </w:p>
          <w:p w14:paraId="12741E94" w14:textId="4031728C" w:rsidR="00EE0477" w:rsidRPr="00551603" w:rsidRDefault="002C4328" w:rsidP="00F95B59">
            <w:pPr>
              <w:pStyle w:val="NoSpacing"/>
              <w:rPr>
                <w:rFonts w:eastAsia="Rockwell" w:cstheme="minorHAnsi"/>
                <w:szCs w:val="21"/>
              </w:rPr>
            </w:pPr>
            <w:r>
              <w:t>Dou</w:t>
            </w:r>
            <w:r w:rsidR="002E0662">
              <w:t xml:space="preserve">ble Integrals over Rectangles. </w:t>
            </w:r>
            <w:r>
              <w:t>Double Integrals over General Regions.</w:t>
            </w:r>
            <w:r w:rsidR="002E0662">
              <w:t xml:space="preserve"> </w:t>
            </w:r>
            <w:r>
              <w:t>Double Integrals in Polar Coordinates. A</w:t>
            </w:r>
            <w:r w:rsidR="002E0662">
              <w:t xml:space="preserve">pplications of Double Integrals. Surface Area. </w:t>
            </w:r>
            <w:r>
              <w:t>Triple Integrals. Triple Integrals in Cylindrical Coordinates. Triple Integrals in Spherical Coordinates. Change of Variables in Multiple Integrals.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B36C" w14:textId="3EBC99FA" w:rsidR="00EE0477" w:rsidRPr="00551603" w:rsidRDefault="002E0662" w:rsidP="00F95B59">
            <w:pPr>
              <w:spacing w:after="0" w:line="210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15.1 – 15.9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1642" w14:textId="72550141" w:rsidR="00EE0477" w:rsidRPr="00551603" w:rsidRDefault="002C4328" w:rsidP="00F95B59">
            <w:pPr>
              <w:spacing w:after="0" w:line="210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15 hours</w:t>
            </w:r>
          </w:p>
        </w:tc>
      </w:tr>
      <w:tr w:rsidR="00EE0477" w:rsidRPr="00551603" w14:paraId="412A80D1" w14:textId="77777777" w:rsidTr="00F95B59">
        <w:trPr>
          <w:trHeight w:hRule="exact" w:val="1256"/>
          <w:jc w:val="center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B65" w14:textId="77777777" w:rsidR="00EE0477" w:rsidRPr="00551603" w:rsidRDefault="00EE0477">
            <w:pPr>
              <w:spacing w:before="2" w:after="0" w:line="120" w:lineRule="exact"/>
              <w:rPr>
                <w:rFonts w:cstheme="minorHAnsi"/>
                <w:szCs w:val="12"/>
              </w:rPr>
            </w:pPr>
          </w:p>
          <w:p w14:paraId="4CFC1FFD" w14:textId="77777777" w:rsidR="00F95B59" w:rsidRDefault="002C4328" w:rsidP="00F95B59">
            <w:pPr>
              <w:pStyle w:val="NoSpacing"/>
            </w:pPr>
            <w:r>
              <w:t xml:space="preserve">VECTOR CALCULUS </w:t>
            </w:r>
          </w:p>
          <w:p w14:paraId="1B9D3069" w14:textId="4B00AB4C" w:rsidR="00EE0477" w:rsidRPr="00551603" w:rsidRDefault="002C4328" w:rsidP="00F95B59">
            <w:pPr>
              <w:pStyle w:val="NoSpacing"/>
              <w:rPr>
                <w:rFonts w:eastAsia="Rockwell" w:cstheme="minorHAnsi"/>
                <w:szCs w:val="21"/>
              </w:rPr>
            </w:pPr>
            <w:r>
              <w:t xml:space="preserve">Vector Fields. Line Integrals. The Fundamental Theorem for Line Integrals. Green's Theorem. Curl and Divergence. Parametric Surfaces and Their Areas. Surface Integrals. </w:t>
            </w:r>
            <w:r w:rsidR="002E0662">
              <w:t xml:space="preserve">Stokes’ Theorem. </w:t>
            </w:r>
            <w:r>
              <w:t>The Divergence Theo</w:t>
            </w:r>
            <w:r w:rsidR="002E0662">
              <w:t>rem.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863C" w14:textId="2F6344BE" w:rsidR="00EE0477" w:rsidRPr="00551603" w:rsidRDefault="00F95B59" w:rsidP="00F95B59">
            <w:pPr>
              <w:spacing w:before="1" w:after="0" w:line="240" w:lineRule="auto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rPr>
                <w:rFonts w:eastAsia="Rockwell" w:cstheme="minorHAnsi"/>
                <w:szCs w:val="21"/>
              </w:rPr>
              <w:t>1</w:t>
            </w:r>
            <w:r w:rsidR="002C4328">
              <w:t>6.1 – 16.9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8FAB" w14:textId="6D65A416" w:rsidR="00EE0477" w:rsidRPr="00551603" w:rsidRDefault="002C4328" w:rsidP="00F95B59">
            <w:pPr>
              <w:spacing w:after="0" w:line="167" w:lineRule="exact"/>
              <w:ind w:left="-1" w:right="-20"/>
              <w:jc w:val="center"/>
              <w:rPr>
                <w:rFonts w:eastAsia="Rockwell" w:cstheme="minorHAnsi"/>
                <w:szCs w:val="21"/>
              </w:rPr>
            </w:pPr>
            <w:r>
              <w:t>15 hours</w:t>
            </w:r>
          </w:p>
        </w:tc>
      </w:tr>
    </w:tbl>
    <w:p w14:paraId="5DE9F835" w14:textId="77777777" w:rsidR="00EE0477" w:rsidRPr="00551603" w:rsidRDefault="00EE0477">
      <w:pPr>
        <w:spacing w:before="16" w:after="0" w:line="220" w:lineRule="exact"/>
        <w:rPr>
          <w:rFonts w:cstheme="minorHAnsi"/>
        </w:rPr>
      </w:pPr>
    </w:p>
    <w:p w14:paraId="7D538935" w14:textId="0F5D68CA" w:rsidR="00AF0584" w:rsidRPr="00AF0584" w:rsidRDefault="00AF0584" w:rsidP="00AF0584">
      <w:pPr>
        <w:pStyle w:val="Heading3"/>
        <w:spacing w:before="72"/>
        <w:ind w:left="0"/>
        <w:jc w:val="center"/>
        <w:rPr>
          <w:rFonts w:ascii="Times New Roman" w:eastAsia="Rockwell" w:hAnsi="Times New Roman"/>
          <w:sz w:val="24"/>
          <w:szCs w:val="24"/>
        </w:rPr>
      </w:pPr>
      <w:r w:rsidRPr="00AF0584">
        <w:rPr>
          <w:rFonts w:ascii="Times New Roman" w:eastAsia="Arial" w:hAnsi="Times New Roman"/>
          <w:sz w:val="24"/>
          <w:szCs w:val="24"/>
        </w:rPr>
        <w:t>5-unit class:  hours total 72.5   (15 x 4 hours 50 minutes)  – hours for exams + 2.5 hour final</w:t>
      </w:r>
    </w:p>
    <w:p w14:paraId="73E3ECD5" w14:textId="0D89D70A" w:rsidR="00EE0477" w:rsidRPr="00AF0584" w:rsidRDefault="002C4328" w:rsidP="00AF0584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  <w:sz w:val="24"/>
          <w:szCs w:val="24"/>
        </w:rPr>
      </w:pPr>
      <w:r w:rsidRPr="00AF0584">
        <w:rPr>
          <w:rFonts w:ascii="Times New Roman" w:eastAsia="Rockwell" w:hAnsi="Times New Roman" w:cs="Times New Roman"/>
          <w:sz w:val="24"/>
          <w:szCs w:val="24"/>
        </w:rPr>
        <w:t>This outline allows for 5</w:t>
      </w:r>
      <w:r w:rsidR="00551603" w:rsidRPr="00AF0584">
        <w:rPr>
          <w:rFonts w:ascii="Times New Roman" w:eastAsia="Rockwell" w:hAnsi="Times New Roman" w:cs="Times New Roman"/>
          <w:sz w:val="24"/>
          <w:szCs w:val="24"/>
        </w:rPr>
        <w:t xml:space="preserve"> hours of exams.</w:t>
      </w:r>
    </w:p>
    <w:p w14:paraId="79145880" w14:textId="77777777" w:rsidR="00EE0477" w:rsidRPr="00AF0584" w:rsidRDefault="00EE0477">
      <w:pPr>
        <w:spacing w:before="18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94256E" w14:textId="77777777" w:rsidR="00EE0477" w:rsidRPr="00AF0584" w:rsidRDefault="00551603">
      <w:pPr>
        <w:spacing w:after="0" w:line="240" w:lineRule="auto"/>
        <w:ind w:left="202" w:right="-20"/>
        <w:rPr>
          <w:rFonts w:ascii="Times New Roman" w:eastAsia="Rockwell" w:hAnsi="Times New Roman" w:cs="Times New Roman"/>
          <w:b/>
          <w:sz w:val="24"/>
          <w:szCs w:val="24"/>
        </w:rPr>
      </w:pPr>
      <w:r w:rsidRPr="00AF0584">
        <w:rPr>
          <w:rFonts w:ascii="Times New Roman" w:eastAsia="Rockwell" w:hAnsi="Times New Roman" w:cs="Times New Roman"/>
          <w:b/>
          <w:sz w:val="24"/>
          <w:szCs w:val="24"/>
        </w:rPr>
        <w:t xml:space="preserve">NOTES: </w:t>
      </w:r>
    </w:p>
    <w:p w14:paraId="34E7ED96" w14:textId="2966331D" w:rsidR="0048403A" w:rsidRPr="00AF0584" w:rsidRDefault="00551603" w:rsidP="00FC0B99">
      <w:pPr>
        <w:spacing w:before="55" w:after="0" w:line="255" w:lineRule="auto"/>
        <w:ind w:left="922" w:right="168" w:hanging="360"/>
        <w:rPr>
          <w:rFonts w:ascii="Times New Roman" w:hAnsi="Times New Roman" w:cs="Times New Roman"/>
          <w:sz w:val="24"/>
          <w:szCs w:val="24"/>
        </w:rPr>
      </w:pPr>
      <w:r w:rsidRPr="00AF0584">
        <w:rPr>
          <w:rFonts w:ascii="Times New Roman" w:eastAsia="Rockwell" w:hAnsi="Times New Roman" w:cs="Times New Roman"/>
          <w:sz w:val="24"/>
          <w:szCs w:val="24"/>
        </w:rPr>
        <w:t xml:space="preserve">1.  </w:t>
      </w:r>
      <w:r w:rsidR="0048403A" w:rsidRPr="00AF0584">
        <w:rPr>
          <w:rFonts w:ascii="Times New Roman" w:hAnsi="Times New Roman" w:cs="Times New Roman"/>
          <w:sz w:val="24"/>
          <w:szCs w:val="24"/>
        </w:rPr>
        <w:t xml:space="preserve">A student leaving this course will have experience with a computer algebra system. A minimum of two computer assignments is required. </w:t>
      </w:r>
    </w:p>
    <w:p w14:paraId="754328A8" w14:textId="54C761FA" w:rsidR="0048403A" w:rsidRPr="00AF0584" w:rsidRDefault="00E3694F" w:rsidP="0048403A">
      <w:pPr>
        <w:spacing w:before="55" w:after="0" w:line="255" w:lineRule="auto"/>
        <w:ind w:left="922" w:right="1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ckwell" w:hAnsi="Times New Roman" w:cs="Times New Roman"/>
          <w:sz w:val="24"/>
          <w:szCs w:val="24"/>
        </w:rPr>
        <w:t>2</w:t>
      </w:r>
      <w:r w:rsidR="00551603" w:rsidRPr="00AF0584">
        <w:rPr>
          <w:rFonts w:ascii="Times New Roman" w:eastAsia="Rockwell" w:hAnsi="Times New Roman" w:cs="Times New Roman"/>
          <w:sz w:val="24"/>
          <w:szCs w:val="24"/>
        </w:rPr>
        <w:t xml:space="preserve">.   </w:t>
      </w:r>
      <w:r w:rsidR="0048403A" w:rsidRPr="00AF0584">
        <w:rPr>
          <w:rFonts w:ascii="Times New Roman" w:hAnsi="Times New Roman" w:cs="Times New Roman"/>
          <w:sz w:val="24"/>
          <w:szCs w:val="24"/>
        </w:rPr>
        <w:t>At least 25% of students’ grades should be based on student performance without the aid of a graphing calculator or computer.</w:t>
      </w:r>
    </w:p>
    <w:p w14:paraId="4C45736A" w14:textId="15AF06FE" w:rsidR="00EE0477" w:rsidRPr="00AF0584" w:rsidRDefault="00E3694F" w:rsidP="0048403A">
      <w:pPr>
        <w:spacing w:before="55" w:after="0" w:line="255" w:lineRule="auto"/>
        <w:ind w:left="922" w:right="168" w:hanging="360"/>
        <w:rPr>
          <w:rFonts w:ascii="Times New Roman" w:eastAsia="Rockwell" w:hAnsi="Times New Roman" w:cs="Times New Roman"/>
          <w:sz w:val="24"/>
          <w:szCs w:val="24"/>
        </w:rPr>
      </w:pPr>
      <w:r>
        <w:rPr>
          <w:rFonts w:ascii="Times New Roman" w:eastAsia="Rockwell" w:hAnsi="Times New Roman" w:cs="Times New Roman"/>
          <w:sz w:val="24"/>
          <w:szCs w:val="24"/>
        </w:rPr>
        <w:t>3</w:t>
      </w:r>
      <w:r w:rsidR="00551603" w:rsidRPr="00AF0584">
        <w:rPr>
          <w:rFonts w:ascii="Times New Roman" w:eastAsia="Rockwell" w:hAnsi="Times New Roman" w:cs="Times New Roman"/>
          <w:sz w:val="24"/>
          <w:szCs w:val="24"/>
        </w:rPr>
        <w:t xml:space="preserve">.   </w:t>
      </w:r>
      <w:r w:rsidR="0048403A" w:rsidRPr="00AF0584">
        <w:rPr>
          <w:rFonts w:ascii="Times New Roman" w:hAnsi="Times New Roman" w:cs="Times New Roman"/>
          <w:sz w:val="24"/>
          <w:szCs w:val="24"/>
        </w:rPr>
        <w:t>Practice exams can indicate types of problems but actual problems should be substantially different.</w:t>
      </w:r>
    </w:p>
    <w:p w14:paraId="313398BA" w14:textId="77777777" w:rsidR="00EE0477" w:rsidRPr="00551603" w:rsidRDefault="00EE0477">
      <w:pPr>
        <w:spacing w:before="11" w:after="0" w:line="260" w:lineRule="exact"/>
        <w:rPr>
          <w:rFonts w:cstheme="minorHAnsi"/>
          <w:szCs w:val="26"/>
        </w:rPr>
      </w:pPr>
    </w:p>
    <w:p w14:paraId="5813158E" w14:textId="77777777" w:rsidR="008017CE" w:rsidRPr="002F64AE" w:rsidRDefault="008017CE" w:rsidP="008017CE">
      <w:pPr>
        <w:spacing w:after="0" w:line="240" w:lineRule="auto"/>
        <w:ind w:right="-20"/>
        <w:rPr>
          <w:rFonts w:ascii="Times New Roman" w:eastAsia="Rockwell" w:hAnsi="Times New Roman" w:cs="Times New Roman"/>
          <w:sz w:val="24"/>
          <w:szCs w:val="24"/>
        </w:rPr>
      </w:pPr>
      <w:r w:rsidRPr="002F64AE">
        <w:rPr>
          <w:rFonts w:ascii="Times New Roman" w:eastAsia="Rockwell" w:hAnsi="Times New Roman" w:cs="Times New Roman"/>
          <w:sz w:val="24"/>
          <w:szCs w:val="24"/>
        </w:rPr>
        <w:t xml:space="preserve">Submitted by: Beydler, Griffith, Guth, Khoddam, Kojima, Nguyen, Pop, Sholars, Tamayo, Tran </w:t>
      </w:r>
    </w:p>
    <w:p w14:paraId="651C5433" w14:textId="77777777" w:rsidR="008017CE" w:rsidRDefault="008017CE" w:rsidP="0048403A">
      <w:pPr>
        <w:spacing w:before="13" w:after="0" w:line="240" w:lineRule="exact"/>
        <w:rPr>
          <w:rFonts w:eastAsia="Arial" w:cstheme="minorHAnsi"/>
        </w:rPr>
      </w:pPr>
    </w:p>
    <w:p w14:paraId="7A598A14" w14:textId="77777777" w:rsidR="008017CE" w:rsidRDefault="008017CE" w:rsidP="0048403A">
      <w:pPr>
        <w:spacing w:before="13" w:after="0" w:line="240" w:lineRule="exact"/>
        <w:rPr>
          <w:rFonts w:eastAsia="Arial" w:cstheme="minorHAnsi"/>
        </w:rPr>
      </w:pPr>
    </w:p>
    <w:p w14:paraId="44594820" w14:textId="6D773ACD" w:rsidR="0048403A" w:rsidRDefault="00235C82" w:rsidP="0048403A">
      <w:pPr>
        <w:spacing w:before="13" w:after="0" w:line="240" w:lineRule="exact"/>
        <w:rPr>
          <w:rFonts w:eastAsia="Arial" w:cstheme="minorHAnsi"/>
        </w:rPr>
      </w:pPr>
      <w:r w:rsidRPr="00235C82">
        <w:rPr>
          <w:rFonts w:eastAsia="Arial" w:cstheme="minorHAnsi"/>
        </w:rPr>
        <w:t xml:space="preserve">Math Department Policy can be found at: </w:t>
      </w:r>
      <w:hyperlink r:id="rId6" w:history="1">
        <w:r w:rsidR="00E371E0" w:rsidRPr="00DD58D7">
          <w:rPr>
            <w:rStyle w:val="Hyperlink"/>
          </w:rPr>
          <w:t>https://www.mtsac.edu/math/departmentpolicy.html</w:t>
        </w:r>
      </w:hyperlink>
      <w:r w:rsidR="00E371E0">
        <w:t xml:space="preserve"> </w:t>
      </w:r>
      <w:bookmarkStart w:id="0" w:name="_GoBack"/>
      <w:bookmarkEnd w:id="0"/>
    </w:p>
    <w:p w14:paraId="225FB288" w14:textId="77777777" w:rsidR="00235C82" w:rsidRDefault="00235C82" w:rsidP="00235C82">
      <w:pPr>
        <w:spacing w:after="0" w:line="240" w:lineRule="auto"/>
        <w:ind w:right="-20"/>
        <w:rPr>
          <w:rFonts w:cstheme="minorHAnsi"/>
        </w:rPr>
      </w:pPr>
    </w:p>
    <w:p w14:paraId="4053035B" w14:textId="77777777" w:rsidR="00F05820" w:rsidRPr="002F64AE" w:rsidRDefault="00F05820" w:rsidP="00F05820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</w:p>
    <w:p w14:paraId="2376D264" w14:textId="7E233168" w:rsidR="00EE0477" w:rsidRPr="00551603" w:rsidRDefault="00EE0477" w:rsidP="0048403A">
      <w:pPr>
        <w:spacing w:after="0" w:line="240" w:lineRule="auto"/>
        <w:ind w:left="201" w:right="-20"/>
        <w:rPr>
          <w:rFonts w:eastAsia="Rockwell" w:cstheme="minorHAnsi"/>
          <w:szCs w:val="21"/>
        </w:rPr>
      </w:pPr>
    </w:p>
    <w:sectPr w:rsidR="00EE0477" w:rsidRPr="00551603">
      <w:headerReference w:type="default" r:id="rId7"/>
      <w:type w:val="continuous"/>
      <w:pgSz w:w="12240" w:h="15840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C26A" w14:textId="77777777" w:rsidR="00C23383" w:rsidRDefault="00C23383" w:rsidP="00AF0584">
      <w:pPr>
        <w:spacing w:after="0" w:line="240" w:lineRule="auto"/>
      </w:pPr>
      <w:r>
        <w:separator/>
      </w:r>
    </w:p>
  </w:endnote>
  <w:endnote w:type="continuationSeparator" w:id="0">
    <w:p w14:paraId="4EF9D98C" w14:textId="77777777" w:rsidR="00C23383" w:rsidRDefault="00C23383" w:rsidP="00AF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906C" w14:textId="77777777" w:rsidR="00C23383" w:rsidRDefault="00C23383" w:rsidP="00AF0584">
      <w:pPr>
        <w:spacing w:after="0" w:line="240" w:lineRule="auto"/>
      </w:pPr>
      <w:r>
        <w:separator/>
      </w:r>
    </w:p>
  </w:footnote>
  <w:footnote w:type="continuationSeparator" w:id="0">
    <w:p w14:paraId="436A3474" w14:textId="77777777" w:rsidR="00C23383" w:rsidRDefault="00C23383" w:rsidP="00AF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BE83" w14:textId="424FEA74" w:rsidR="00AF0584" w:rsidRDefault="00AF0584" w:rsidP="00AF058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280  OUTLINE</w:t>
    </w:r>
  </w:p>
  <w:p w14:paraId="0E3B6DE0" w14:textId="77777777" w:rsidR="00AF0584" w:rsidRDefault="00AF0584" w:rsidP="00AF058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CALCULUS AND ANALYTIC GEOMETRY</w:t>
    </w:r>
  </w:p>
  <w:p w14:paraId="25DE3341" w14:textId="3A636CC7" w:rsidR="00AF0584" w:rsidRDefault="00AF0584" w:rsidP="00AF0584">
    <w:pPr>
      <w:pStyle w:val="Header"/>
      <w:jc w:val="center"/>
    </w:pPr>
    <w:r>
      <w:rPr>
        <w:sz w:val="28"/>
        <w:szCs w:val="28"/>
      </w:rPr>
      <w:t>TEXT:  Calculus, Early Transcendentals, 8</w:t>
    </w:r>
    <w:r w:rsidRPr="002F64AE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edition, Stewart</w:t>
    </w:r>
  </w:p>
  <w:p w14:paraId="05EEF31D" w14:textId="77777777" w:rsidR="00AF0584" w:rsidRDefault="00AF0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235C82"/>
    <w:rsid w:val="002C4328"/>
    <w:rsid w:val="002E0662"/>
    <w:rsid w:val="00400186"/>
    <w:rsid w:val="00425735"/>
    <w:rsid w:val="0048403A"/>
    <w:rsid w:val="00551603"/>
    <w:rsid w:val="005D28F3"/>
    <w:rsid w:val="008017CE"/>
    <w:rsid w:val="0094308F"/>
    <w:rsid w:val="00AF0584"/>
    <w:rsid w:val="00BA13F7"/>
    <w:rsid w:val="00C23383"/>
    <w:rsid w:val="00CE0D83"/>
    <w:rsid w:val="00D4683D"/>
    <w:rsid w:val="00E27EEE"/>
    <w:rsid w:val="00E3694F"/>
    <w:rsid w:val="00E371E0"/>
    <w:rsid w:val="00E44025"/>
    <w:rsid w:val="00EE0477"/>
    <w:rsid w:val="00F05820"/>
    <w:rsid w:val="00F941CC"/>
    <w:rsid w:val="00F95B59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unhideWhenUsed/>
    <w:qFormat/>
    <w:rsid w:val="00AF0584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5C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84"/>
  </w:style>
  <w:style w:type="paragraph" w:styleId="Footer">
    <w:name w:val="footer"/>
    <w:basedOn w:val="Normal"/>
    <w:link w:val="FooterChar"/>
    <w:uiPriority w:val="99"/>
    <w:unhideWhenUsed/>
    <w:rsid w:val="00AF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84"/>
  </w:style>
  <w:style w:type="character" w:customStyle="1" w:styleId="Heading3Char">
    <w:name w:val="Heading 3 Char"/>
    <w:basedOn w:val="DefaultParagraphFont"/>
    <w:link w:val="Heading3"/>
    <w:uiPriority w:val="1"/>
    <w:rsid w:val="00AF0584"/>
    <w:rPr>
      <w:rFonts w:ascii="Arial Narrow" w:eastAsia="Arial Narrow" w:hAnsi="Arial Narrow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Math180-Stewart 8th.docx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Math180-Stewart 8th.docx</dc:title>
  <dc:creator>Tamayo, Jimmy</dc:creator>
  <cp:lastModifiedBy>Jennifer Turner</cp:lastModifiedBy>
  <cp:revision>13</cp:revision>
  <dcterms:created xsi:type="dcterms:W3CDTF">2018-11-28T19:34:00Z</dcterms:created>
  <dcterms:modified xsi:type="dcterms:W3CDTF">2020-08-12T23:04:00Z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</Properties>
</file>