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47726" w14:textId="34F7AE99" w:rsidR="00EE0477" w:rsidRPr="002F64AE" w:rsidRDefault="002F64AE">
      <w:pPr>
        <w:tabs>
          <w:tab w:val="left" w:pos="8560"/>
        </w:tabs>
        <w:spacing w:after="0" w:line="232" w:lineRule="exact"/>
        <w:ind w:left="267" w:right="247"/>
        <w:jc w:val="center"/>
        <w:rPr>
          <w:rFonts w:eastAsia="Rockwell" w:cstheme="minorHAnsi"/>
          <w:i/>
          <w:szCs w:val="21"/>
        </w:rPr>
      </w:pPr>
      <w:r>
        <w:rPr>
          <w:rFonts w:eastAsia="Rockwell" w:cstheme="minorHAnsi"/>
          <w:i/>
          <w:szCs w:val="21"/>
        </w:rPr>
        <w:t xml:space="preserve">Approved: </w:t>
      </w:r>
      <w:r w:rsidR="00BD0F0F">
        <w:rPr>
          <w:rFonts w:eastAsia="Rockwell" w:cstheme="minorHAnsi"/>
          <w:i/>
          <w:szCs w:val="21"/>
        </w:rPr>
        <w:t>___________</w:t>
      </w:r>
      <w:r>
        <w:rPr>
          <w:rFonts w:eastAsia="Rockwell" w:cstheme="minorHAnsi"/>
          <w:i/>
          <w:szCs w:val="21"/>
        </w:rPr>
        <w:t xml:space="preserve">                                                                                                                         </w:t>
      </w:r>
      <w:r w:rsidR="00551603" w:rsidRPr="002F64AE">
        <w:rPr>
          <w:rFonts w:eastAsia="Rockwell" w:cstheme="minorHAnsi"/>
          <w:i/>
          <w:szCs w:val="21"/>
        </w:rPr>
        <w:t xml:space="preserve">Effective: </w:t>
      </w:r>
      <w:r w:rsidR="00BD4C60">
        <w:rPr>
          <w:rFonts w:eastAsia="Rockwell" w:cstheme="minorHAnsi"/>
          <w:i/>
          <w:szCs w:val="21"/>
        </w:rPr>
        <w:t>Fall</w:t>
      </w:r>
      <w:r w:rsidR="00551603" w:rsidRPr="002F64AE">
        <w:rPr>
          <w:rFonts w:eastAsia="Rockwell" w:cstheme="minorHAnsi"/>
          <w:i/>
          <w:szCs w:val="21"/>
        </w:rPr>
        <w:t xml:space="preserve"> 20</w:t>
      </w:r>
      <w:r w:rsidR="00CB69C8">
        <w:rPr>
          <w:rFonts w:eastAsia="Rockwell" w:cstheme="minorHAnsi"/>
          <w:i/>
          <w:szCs w:val="21"/>
        </w:rPr>
        <w:t>2</w:t>
      </w:r>
      <w:r w:rsidR="00F85C1B">
        <w:rPr>
          <w:rFonts w:eastAsia="Rockwell" w:cstheme="minorHAnsi"/>
          <w:i/>
          <w:szCs w:val="21"/>
        </w:rPr>
        <w:t>6</w:t>
      </w:r>
      <w:r w:rsidR="00551603" w:rsidRPr="002F64AE">
        <w:rPr>
          <w:rFonts w:eastAsia="Rockwell" w:cstheme="minorHAnsi"/>
          <w:i/>
          <w:szCs w:val="21"/>
        </w:rPr>
        <w:t xml:space="preserve"> 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3"/>
        <w:gridCol w:w="1358"/>
        <w:gridCol w:w="1123"/>
      </w:tblGrid>
      <w:tr w:rsidR="00EE0477" w:rsidRPr="00551603" w14:paraId="5EC23A48" w14:textId="77777777">
        <w:trPr>
          <w:trHeight w:hRule="exact" w:val="658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15B" w14:textId="77777777" w:rsidR="00EE0477" w:rsidRPr="002F64AE" w:rsidRDefault="00551603">
            <w:pPr>
              <w:spacing w:after="0" w:line="234" w:lineRule="exact"/>
              <w:ind w:left="-1" w:right="-20"/>
              <w:rPr>
                <w:rFonts w:eastAsia="Rockwell" w:cstheme="minorHAnsi"/>
                <w:b/>
                <w:szCs w:val="21"/>
              </w:rPr>
            </w:pPr>
            <w:r w:rsidRPr="002F64AE">
              <w:rPr>
                <w:rFonts w:eastAsia="Rockwell" w:cstheme="minorHAnsi"/>
                <w:b/>
                <w:szCs w:val="21"/>
              </w:rPr>
              <w:t xml:space="preserve"> </w:t>
            </w:r>
          </w:p>
          <w:p w14:paraId="55F6EFF9" w14:textId="6B4CC191" w:rsidR="00EE0477" w:rsidRPr="002F64AE" w:rsidRDefault="002F64AE">
            <w:pPr>
              <w:spacing w:after="0" w:line="250" w:lineRule="exact"/>
              <w:ind w:left="65" w:right="-20"/>
              <w:rPr>
                <w:rFonts w:eastAsia="Rockwell" w:cstheme="minorHAnsi"/>
                <w:b/>
                <w:szCs w:val="21"/>
              </w:rPr>
            </w:pPr>
            <w:r>
              <w:rPr>
                <w:rFonts w:eastAsia="Rockwell" w:cstheme="minorHAnsi"/>
                <w:b/>
                <w:szCs w:val="21"/>
              </w:rPr>
              <w:t>TOPICS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FAF8" w14:textId="77777777" w:rsidR="00EE0477" w:rsidRPr="002F64AE" w:rsidRDefault="00EE0477">
            <w:pPr>
              <w:spacing w:before="7" w:after="0" w:line="110" w:lineRule="exact"/>
              <w:rPr>
                <w:rFonts w:cstheme="minorHAnsi"/>
                <w:b/>
                <w:szCs w:val="11"/>
              </w:rPr>
            </w:pPr>
          </w:p>
          <w:p w14:paraId="7F29B702" w14:textId="1B86C5E7" w:rsidR="00EE0477" w:rsidRPr="002F64AE" w:rsidRDefault="002F64AE" w:rsidP="002F64AE">
            <w:pPr>
              <w:spacing w:after="0" w:line="240" w:lineRule="auto"/>
              <w:ind w:right="-20"/>
              <w:jc w:val="center"/>
              <w:rPr>
                <w:rFonts w:eastAsia="Rockwell" w:cstheme="minorHAnsi"/>
                <w:b/>
                <w:szCs w:val="21"/>
              </w:rPr>
            </w:pPr>
            <w:r>
              <w:rPr>
                <w:rFonts w:eastAsia="Rockwell" w:cstheme="minorHAnsi"/>
                <w:b/>
                <w:szCs w:val="21"/>
              </w:rPr>
              <w:t>SECTIONS FROM TEXT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B7AA" w14:textId="77777777" w:rsidR="00EE0477" w:rsidRPr="002F64AE" w:rsidRDefault="00551603">
            <w:pPr>
              <w:spacing w:after="0" w:line="234" w:lineRule="exact"/>
              <w:ind w:left="-1" w:right="-20"/>
              <w:rPr>
                <w:rFonts w:eastAsia="Rockwell" w:cstheme="minorHAnsi"/>
                <w:b/>
                <w:szCs w:val="21"/>
              </w:rPr>
            </w:pPr>
            <w:r w:rsidRPr="002F64AE">
              <w:rPr>
                <w:rFonts w:eastAsia="Rockwell" w:cstheme="minorHAnsi"/>
                <w:b/>
                <w:szCs w:val="21"/>
              </w:rPr>
              <w:t xml:space="preserve"> </w:t>
            </w:r>
          </w:p>
          <w:p w14:paraId="12B90359" w14:textId="13C91EBB" w:rsidR="00EE0477" w:rsidRPr="002F64AE" w:rsidRDefault="002F64AE">
            <w:pPr>
              <w:spacing w:after="0" w:line="250" w:lineRule="exact"/>
              <w:ind w:left="91" w:right="-20"/>
              <w:rPr>
                <w:rFonts w:eastAsia="Rockwell" w:cstheme="minorHAnsi"/>
                <w:b/>
                <w:szCs w:val="21"/>
              </w:rPr>
            </w:pPr>
            <w:r>
              <w:rPr>
                <w:rFonts w:eastAsia="Rockwell" w:cstheme="minorHAnsi"/>
                <w:b/>
                <w:szCs w:val="21"/>
              </w:rPr>
              <w:t>TIME LINE</w:t>
            </w:r>
          </w:p>
        </w:tc>
      </w:tr>
      <w:tr w:rsidR="00EE0477" w:rsidRPr="00551603" w14:paraId="7814AAC1" w14:textId="77777777" w:rsidTr="00AB2DEE">
        <w:trPr>
          <w:trHeight w:hRule="exact" w:val="1031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CAE6" w14:textId="77777777" w:rsidR="00EE0477" w:rsidRPr="00551603" w:rsidRDefault="00551603">
            <w:pPr>
              <w:spacing w:before="97" w:after="0" w:line="285" w:lineRule="auto"/>
              <w:ind w:left="65" w:right="682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Functions and Models: Four Ways to Represent a Function. Mathematical Models:  A Catalog of Essential Functions. New Functions from Old Functions. Exponential Functions. Inverse Functions and Logarithms.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C53B" w14:textId="77777777" w:rsidR="00EE0477" w:rsidRPr="00551603" w:rsidRDefault="00551603">
            <w:pPr>
              <w:spacing w:after="0" w:line="225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79911C95" w14:textId="77777777" w:rsidR="00EE0477" w:rsidRPr="00551603" w:rsidRDefault="00551603">
            <w:pPr>
              <w:spacing w:before="16" w:after="0" w:line="240" w:lineRule="auto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4F026A27" w14:textId="77777777" w:rsidR="00EE0477" w:rsidRPr="00551603" w:rsidRDefault="00551603">
            <w:pPr>
              <w:spacing w:before="2" w:after="0" w:line="240" w:lineRule="auto"/>
              <w:ind w:left="256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1.1 – 1.5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4E8" w14:textId="77777777" w:rsidR="00EE0477" w:rsidRPr="00551603" w:rsidRDefault="00551603">
            <w:pPr>
              <w:spacing w:after="0" w:line="169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1E8D80D9" w14:textId="77777777" w:rsidR="00EE0477" w:rsidRPr="00551603" w:rsidRDefault="00551603">
            <w:pPr>
              <w:spacing w:after="0" w:line="214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3594D322" w14:textId="4BF8114B" w:rsidR="00EE0477" w:rsidRPr="00551603" w:rsidRDefault="00551603">
            <w:pPr>
              <w:spacing w:after="0" w:line="245" w:lineRule="exact"/>
              <w:ind w:left="360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3 </w:t>
            </w:r>
          </w:p>
          <w:p w14:paraId="29749213" w14:textId="77777777" w:rsidR="00EE0477" w:rsidRPr="00551603" w:rsidRDefault="00551603">
            <w:pPr>
              <w:spacing w:before="2" w:after="0" w:line="240" w:lineRule="auto"/>
              <w:ind w:left="280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Hours </w:t>
            </w:r>
          </w:p>
        </w:tc>
      </w:tr>
      <w:tr w:rsidR="00EE0477" w:rsidRPr="00551603" w14:paraId="3178B89E" w14:textId="77777777" w:rsidTr="00AB2DEE">
        <w:trPr>
          <w:trHeight w:hRule="exact" w:val="1409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5BC" w14:textId="77777777" w:rsidR="00EE0477" w:rsidRPr="00551603" w:rsidRDefault="00551603">
            <w:pPr>
              <w:spacing w:before="97" w:after="0" w:line="284" w:lineRule="auto"/>
              <w:ind w:left="65" w:right="73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Limits and Derivatives: The Tangent and Velocity Problems. The Limit of a Function. Calculating Limits Using the Limit Laws. The Precise Definition of a Limit. Continuity. Limits at Infinity; Horizontal Asymptotes. Derivatives and Rates of Change. The Derivative as a Function.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E73" w14:textId="77777777" w:rsidR="00EE0477" w:rsidRPr="00551603" w:rsidRDefault="00551603">
            <w:pPr>
              <w:spacing w:after="0" w:line="225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431DEA63" w14:textId="77777777" w:rsidR="00EE0477" w:rsidRPr="00551603" w:rsidRDefault="00551603">
            <w:pPr>
              <w:spacing w:before="21" w:after="0" w:line="240" w:lineRule="auto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6DB5C309" w14:textId="77777777" w:rsidR="00EE0477" w:rsidRPr="00551603" w:rsidRDefault="00551603">
            <w:pPr>
              <w:spacing w:before="7" w:after="0" w:line="240" w:lineRule="auto"/>
              <w:ind w:left="246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2.1 – 2.8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FC3" w14:textId="77777777" w:rsidR="00EE0477" w:rsidRPr="00551603" w:rsidRDefault="00551603">
            <w:pPr>
              <w:spacing w:after="0" w:line="225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5FB76078" w14:textId="77777777" w:rsidR="00EE0477" w:rsidRPr="00551603" w:rsidRDefault="00551603">
            <w:pPr>
              <w:spacing w:before="21" w:after="0" w:line="240" w:lineRule="auto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18FCB356" w14:textId="77777777" w:rsidR="00EE0477" w:rsidRPr="00551603" w:rsidRDefault="00551603">
            <w:pPr>
              <w:spacing w:before="7" w:after="0" w:line="240" w:lineRule="auto"/>
              <w:ind w:left="178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7 Hours </w:t>
            </w:r>
          </w:p>
        </w:tc>
      </w:tr>
      <w:tr w:rsidR="00EE0477" w:rsidRPr="00551603" w14:paraId="20C02B89" w14:textId="77777777" w:rsidTr="00AB2DEE">
        <w:trPr>
          <w:trHeight w:hRule="exact" w:val="2021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F16" w14:textId="4F1E473E" w:rsidR="00EE0477" w:rsidRPr="00551603" w:rsidRDefault="00551603">
            <w:pPr>
              <w:spacing w:before="97" w:after="0" w:line="284" w:lineRule="auto"/>
              <w:ind w:left="65" w:right="1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Differentiation Rules: Derivatives of Polynomials and Exponential Functions. The Product and Quotient Rules. Derivatives of Trigonometric Functions. The Chain Rule. Implicit Differentiation. Derivatives of Logarithmic </w:t>
            </w:r>
            <w:r w:rsidR="00AB2DEE">
              <w:rPr>
                <w:rFonts w:eastAsia="Rockwell" w:cstheme="minorHAnsi"/>
                <w:szCs w:val="21"/>
              </w:rPr>
              <w:t xml:space="preserve">and Inverse Trigonometric </w:t>
            </w:r>
            <w:r w:rsidRPr="00551603">
              <w:rPr>
                <w:rFonts w:eastAsia="Rockwell" w:cstheme="minorHAnsi"/>
                <w:szCs w:val="21"/>
              </w:rPr>
              <w:t xml:space="preserve">Functions. Rates of Change in the Natural and Social Sciences. Exponential Growth and Decay. Related Rates. Linear Approximations and Differentials. </w:t>
            </w:r>
            <w:r w:rsidR="00AB2DEE" w:rsidRPr="00551603">
              <w:rPr>
                <w:rFonts w:eastAsia="Rockwell" w:cstheme="minorHAnsi"/>
                <w:szCs w:val="21"/>
              </w:rPr>
              <w:t xml:space="preserve">Hyperbolic </w:t>
            </w:r>
            <w:r w:rsidR="00AB2DEE">
              <w:rPr>
                <w:rFonts w:eastAsia="Rockwell" w:cstheme="minorHAnsi"/>
                <w:szCs w:val="21"/>
              </w:rPr>
              <w:t>Functions</w:t>
            </w:r>
            <w:r w:rsidRPr="00551603">
              <w:rPr>
                <w:rFonts w:eastAsia="Rockwell" w:cstheme="minorHAnsi"/>
                <w:szCs w:val="21"/>
              </w:rPr>
              <w:t xml:space="preserve">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918" w14:textId="77777777" w:rsidR="00EE0477" w:rsidRPr="00551603" w:rsidRDefault="00551603">
            <w:pPr>
              <w:spacing w:after="0" w:line="208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476C88FD" w14:textId="77777777" w:rsidR="00EE0477" w:rsidRPr="00551603" w:rsidRDefault="00551603">
            <w:pPr>
              <w:spacing w:after="0" w:line="202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29D01F63" w14:textId="77777777" w:rsidR="00EE0477" w:rsidRPr="00551603" w:rsidRDefault="00551603">
            <w:pPr>
              <w:spacing w:after="0" w:line="202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3050EBC3" w14:textId="77777777" w:rsidR="00EE0477" w:rsidRPr="00551603" w:rsidRDefault="00551603">
            <w:pPr>
              <w:spacing w:after="0" w:line="219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2B7166AA" w14:textId="77777777" w:rsidR="00EE0477" w:rsidRPr="00551603" w:rsidRDefault="00551603">
            <w:pPr>
              <w:spacing w:after="0" w:line="250" w:lineRule="exact"/>
              <w:ind w:left="195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3.1 – 3.11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64E5" w14:textId="77777777" w:rsidR="00EE0477" w:rsidRPr="00551603" w:rsidRDefault="00551603">
            <w:pPr>
              <w:spacing w:after="0" w:line="157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17377691" w14:textId="77777777" w:rsidR="00EE0477" w:rsidRPr="00551603" w:rsidRDefault="00551603">
            <w:pPr>
              <w:spacing w:after="0" w:line="194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45CC5631" w14:textId="77777777" w:rsidR="00EE0477" w:rsidRPr="00551603" w:rsidRDefault="00551603">
            <w:pPr>
              <w:spacing w:after="0" w:line="202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4B137483" w14:textId="77777777" w:rsidR="00EE0477" w:rsidRPr="00551603" w:rsidRDefault="00551603">
            <w:pPr>
              <w:spacing w:after="0" w:line="219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44698FD8" w14:textId="5777B66F" w:rsidR="00EE0477" w:rsidRPr="00551603" w:rsidRDefault="00551603">
            <w:pPr>
              <w:spacing w:after="0" w:line="245" w:lineRule="exact"/>
              <w:ind w:left="127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>1</w:t>
            </w:r>
            <w:r w:rsidR="00632D97">
              <w:rPr>
                <w:rFonts w:eastAsia="Rockwell" w:cstheme="minorHAnsi"/>
                <w:szCs w:val="21"/>
              </w:rPr>
              <w:t>6</w:t>
            </w:r>
            <w:r w:rsidRPr="00551603">
              <w:rPr>
                <w:rFonts w:eastAsia="Rockwell" w:cstheme="minorHAnsi"/>
                <w:szCs w:val="21"/>
              </w:rPr>
              <w:t xml:space="preserve"> Hours </w:t>
            </w:r>
          </w:p>
        </w:tc>
      </w:tr>
      <w:tr w:rsidR="00EE0477" w:rsidRPr="00551603" w14:paraId="2949B6B9" w14:textId="77777777" w:rsidTr="00AB2DEE">
        <w:trPr>
          <w:trHeight w:hRule="exact" w:val="1427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E6FD" w14:textId="77777777" w:rsidR="00EE0477" w:rsidRPr="00551603" w:rsidRDefault="00EE0477">
            <w:pPr>
              <w:spacing w:before="6" w:after="0" w:line="120" w:lineRule="exact"/>
              <w:rPr>
                <w:rFonts w:cstheme="minorHAnsi"/>
                <w:szCs w:val="12"/>
              </w:rPr>
            </w:pPr>
          </w:p>
          <w:p w14:paraId="12741E94" w14:textId="2D47100E" w:rsidR="00EE0477" w:rsidRPr="00551603" w:rsidRDefault="00551603">
            <w:pPr>
              <w:spacing w:after="0" w:line="283" w:lineRule="auto"/>
              <w:ind w:left="65" w:right="268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Applications of Differentiation: Maximum and Minimum Values. The Mean Value Theorem. </w:t>
            </w:r>
            <w:r w:rsidR="00AB2DEE">
              <w:rPr>
                <w:rFonts w:eastAsia="Rockwell" w:cstheme="minorHAnsi"/>
                <w:szCs w:val="21"/>
              </w:rPr>
              <w:t xml:space="preserve">What </w:t>
            </w:r>
            <w:r w:rsidRPr="00551603">
              <w:rPr>
                <w:rFonts w:eastAsia="Rockwell" w:cstheme="minorHAnsi"/>
                <w:szCs w:val="21"/>
              </w:rPr>
              <w:t xml:space="preserve">Derivatives </w:t>
            </w:r>
            <w:r w:rsidR="00AB2DEE">
              <w:rPr>
                <w:rFonts w:eastAsia="Rockwell" w:cstheme="minorHAnsi"/>
                <w:szCs w:val="21"/>
              </w:rPr>
              <w:t>Tell Us about</w:t>
            </w:r>
            <w:r w:rsidRPr="00551603">
              <w:rPr>
                <w:rFonts w:eastAsia="Rockwell" w:cstheme="minorHAnsi"/>
                <w:szCs w:val="21"/>
              </w:rPr>
              <w:t xml:space="preserve"> the Shape of a Graph. Indeterminate Forms and </w:t>
            </w:r>
            <w:proofErr w:type="spellStart"/>
            <w:r w:rsidRPr="00551603">
              <w:rPr>
                <w:rFonts w:eastAsia="Rockwell" w:cstheme="minorHAnsi"/>
                <w:szCs w:val="21"/>
              </w:rPr>
              <w:t>l’Hospital’s</w:t>
            </w:r>
            <w:proofErr w:type="spellEnd"/>
            <w:r w:rsidRPr="00551603">
              <w:rPr>
                <w:rFonts w:eastAsia="Rockwell" w:cstheme="minorHAnsi"/>
                <w:szCs w:val="21"/>
              </w:rPr>
              <w:t xml:space="preserve"> Rule. Summary of Curve Sketching. Graphing with Calculus and </w:t>
            </w:r>
            <w:r w:rsidR="00AB2DEE">
              <w:rPr>
                <w:rFonts w:eastAsia="Rockwell" w:cstheme="minorHAnsi"/>
                <w:szCs w:val="21"/>
              </w:rPr>
              <w:t>Technology</w:t>
            </w:r>
            <w:r w:rsidRPr="00551603">
              <w:rPr>
                <w:rFonts w:eastAsia="Rockwell" w:cstheme="minorHAnsi"/>
                <w:szCs w:val="21"/>
              </w:rPr>
              <w:t xml:space="preserve">. Optimization Problems. Newton’s Method. Antiderivatives.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CC1" w14:textId="77777777" w:rsidR="00EE0477" w:rsidRPr="00551603" w:rsidRDefault="00551603">
            <w:pPr>
              <w:spacing w:after="0" w:line="210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3BE6F94D" w14:textId="77777777" w:rsidR="00EE0477" w:rsidRPr="00551603" w:rsidRDefault="00551603">
            <w:pPr>
              <w:spacing w:after="0" w:line="209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26F6D9DD" w14:textId="77777777" w:rsidR="00EE0477" w:rsidRPr="00551603" w:rsidRDefault="00551603">
            <w:pPr>
              <w:spacing w:after="0" w:line="228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6710B36C" w14:textId="77777777" w:rsidR="00EE0477" w:rsidRPr="00551603" w:rsidRDefault="00551603">
            <w:pPr>
              <w:spacing w:before="2" w:after="0" w:line="240" w:lineRule="auto"/>
              <w:ind w:left="28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4.1 - 4.9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2A9" w14:textId="77777777" w:rsidR="00EE0477" w:rsidRPr="00551603" w:rsidRDefault="00551603">
            <w:pPr>
              <w:spacing w:after="0" w:line="210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13FE5A81" w14:textId="77777777" w:rsidR="00EE0477" w:rsidRPr="00551603" w:rsidRDefault="00551603">
            <w:pPr>
              <w:spacing w:after="0" w:line="209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1FE2C7AE" w14:textId="77777777" w:rsidR="00EE0477" w:rsidRPr="00551603" w:rsidRDefault="00551603">
            <w:pPr>
              <w:spacing w:after="0" w:line="228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5A131642" w14:textId="77777777" w:rsidR="00EE0477" w:rsidRPr="00551603" w:rsidRDefault="00551603">
            <w:pPr>
              <w:spacing w:before="2" w:after="0" w:line="240" w:lineRule="auto"/>
              <w:ind w:left="127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12 Hours </w:t>
            </w:r>
          </w:p>
        </w:tc>
      </w:tr>
      <w:tr w:rsidR="00EE0477" w:rsidRPr="00551603" w14:paraId="412A80D1" w14:textId="77777777" w:rsidTr="00AB2DEE">
        <w:trPr>
          <w:trHeight w:hRule="exact" w:val="1085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B65" w14:textId="77777777" w:rsidR="00EE0477" w:rsidRPr="00551603" w:rsidRDefault="00EE0477">
            <w:pPr>
              <w:spacing w:before="2" w:after="0" w:line="120" w:lineRule="exact"/>
              <w:rPr>
                <w:rFonts w:cstheme="minorHAnsi"/>
                <w:szCs w:val="12"/>
              </w:rPr>
            </w:pPr>
          </w:p>
          <w:p w14:paraId="1B9D3069" w14:textId="626A270B" w:rsidR="00EE0477" w:rsidRPr="00551603" w:rsidRDefault="00551603">
            <w:pPr>
              <w:spacing w:after="0" w:line="283" w:lineRule="auto"/>
              <w:ind w:left="65" w:right="161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>Integra</w:t>
            </w:r>
            <w:r w:rsidR="00F80486">
              <w:rPr>
                <w:rFonts w:eastAsia="Rockwell" w:cstheme="minorHAnsi"/>
                <w:szCs w:val="21"/>
              </w:rPr>
              <w:t>ls</w:t>
            </w:r>
            <w:r w:rsidRPr="00551603">
              <w:rPr>
                <w:rFonts w:eastAsia="Rockwell" w:cstheme="minorHAnsi"/>
                <w:szCs w:val="21"/>
              </w:rPr>
              <w:t xml:space="preserve">: </w:t>
            </w:r>
            <w:r w:rsidR="00F80486">
              <w:rPr>
                <w:rFonts w:eastAsia="Rockwell" w:cstheme="minorHAnsi"/>
                <w:szCs w:val="21"/>
              </w:rPr>
              <w:t xml:space="preserve">The </w:t>
            </w:r>
            <w:r w:rsidRPr="00551603">
              <w:rPr>
                <w:rFonts w:eastAsia="Rockwell" w:cstheme="minorHAnsi"/>
                <w:szCs w:val="21"/>
              </w:rPr>
              <w:t>Area and Distance</w:t>
            </w:r>
            <w:r w:rsidR="00F80486">
              <w:rPr>
                <w:rFonts w:eastAsia="Rockwell" w:cstheme="minorHAnsi"/>
                <w:szCs w:val="21"/>
              </w:rPr>
              <w:t xml:space="preserve"> Problems.</w:t>
            </w:r>
            <w:r w:rsidRPr="00551603">
              <w:rPr>
                <w:rFonts w:eastAsia="Rockwell" w:cstheme="minorHAnsi"/>
                <w:szCs w:val="21"/>
              </w:rPr>
              <w:t xml:space="preserve"> The Definite Integral. The Fundamental Theorem of Calculus. Indefinite Integrals and the Net Change Theorem. The Substitution Rule.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0E4" w14:textId="77777777" w:rsidR="00EE0477" w:rsidRPr="00551603" w:rsidRDefault="00551603">
            <w:pPr>
              <w:spacing w:before="1" w:after="0" w:line="240" w:lineRule="auto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37FE863C" w14:textId="1D68B3E7" w:rsidR="00EE0477" w:rsidRPr="00551603" w:rsidRDefault="00551603">
            <w:pPr>
              <w:spacing w:before="2" w:after="0" w:line="274" w:lineRule="auto"/>
              <w:ind w:left="86" w:right="-62" w:firstLine="246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5.1 - 5.5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8BEE" w14:textId="77777777" w:rsidR="00EE0477" w:rsidRPr="00551603" w:rsidRDefault="00551603">
            <w:pPr>
              <w:spacing w:after="0" w:line="167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0AB50507" w14:textId="77777777" w:rsidR="00EE0477" w:rsidRPr="00551603" w:rsidRDefault="00551603">
            <w:pPr>
              <w:spacing w:after="0" w:line="212" w:lineRule="exact"/>
              <w:ind w:left="-1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  <w:p w14:paraId="5D8E8FAB" w14:textId="4D558C44" w:rsidR="00EE0477" w:rsidRPr="00551603" w:rsidRDefault="00551603">
            <w:pPr>
              <w:spacing w:after="0" w:line="250" w:lineRule="exact"/>
              <w:ind w:left="127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>1</w:t>
            </w:r>
            <w:r w:rsidR="00B8661D">
              <w:rPr>
                <w:rFonts w:eastAsia="Rockwell" w:cstheme="minorHAnsi"/>
                <w:szCs w:val="21"/>
              </w:rPr>
              <w:t>0</w:t>
            </w:r>
            <w:r w:rsidRPr="00551603">
              <w:rPr>
                <w:rFonts w:eastAsia="Rockwell" w:cstheme="minorHAnsi"/>
                <w:szCs w:val="21"/>
              </w:rPr>
              <w:t xml:space="preserve"> Hours </w:t>
            </w:r>
          </w:p>
        </w:tc>
      </w:tr>
      <w:tr w:rsidR="00EE0477" w:rsidRPr="00551603" w14:paraId="61B78081" w14:textId="77777777">
        <w:trPr>
          <w:trHeight w:hRule="exact" w:val="370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A8C5" w14:textId="77777777" w:rsidR="00EE0477" w:rsidRPr="00551603" w:rsidRDefault="00EE0477">
            <w:pPr>
              <w:spacing w:before="2" w:after="0" w:line="110" w:lineRule="exact"/>
              <w:rPr>
                <w:rFonts w:cstheme="minorHAnsi"/>
                <w:szCs w:val="11"/>
              </w:rPr>
            </w:pPr>
          </w:p>
          <w:p w14:paraId="1303550D" w14:textId="77777777" w:rsidR="00EE0477" w:rsidRPr="00551603" w:rsidRDefault="00551603">
            <w:pPr>
              <w:spacing w:after="0" w:line="246" w:lineRule="exact"/>
              <w:ind w:left="65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Integration by parts.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9224" w14:textId="77777777" w:rsidR="00EE0477" w:rsidRPr="00551603" w:rsidRDefault="00EE0477">
            <w:pPr>
              <w:spacing w:before="2" w:after="0" w:line="100" w:lineRule="exact"/>
              <w:rPr>
                <w:rFonts w:cstheme="minorHAnsi"/>
                <w:szCs w:val="10"/>
              </w:rPr>
            </w:pPr>
          </w:p>
          <w:p w14:paraId="6C0D2E51" w14:textId="77777777" w:rsidR="00EE0477" w:rsidRPr="00551603" w:rsidRDefault="00551603">
            <w:pPr>
              <w:spacing w:after="0" w:line="240" w:lineRule="auto"/>
              <w:ind w:left="519" w:right="408"/>
              <w:jc w:val="center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7.1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EF5" w14:textId="77777777" w:rsidR="00EE0477" w:rsidRPr="00551603" w:rsidRDefault="00EE0477">
            <w:pPr>
              <w:spacing w:before="2" w:after="0" w:line="100" w:lineRule="exact"/>
              <w:rPr>
                <w:rFonts w:cstheme="minorHAnsi"/>
                <w:szCs w:val="10"/>
              </w:rPr>
            </w:pPr>
          </w:p>
          <w:p w14:paraId="0DC88C35" w14:textId="77777777" w:rsidR="00EE0477" w:rsidRPr="00551603" w:rsidRDefault="00551603">
            <w:pPr>
              <w:spacing w:after="0" w:line="240" w:lineRule="auto"/>
              <w:ind w:left="189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2 Hours </w:t>
            </w:r>
          </w:p>
        </w:tc>
      </w:tr>
      <w:tr w:rsidR="00EE0477" w:rsidRPr="00551603" w14:paraId="5F9B2511" w14:textId="77777777">
        <w:trPr>
          <w:trHeight w:hRule="exact" w:val="370"/>
        </w:trPr>
        <w:tc>
          <w:tcPr>
            <w:tcW w:w="7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B7FE" w14:textId="77777777" w:rsidR="00EE0477" w:rsidRPr="00551603" w:rsidRDefault="00EE0477">
            <w:pPr>
              <w:spacing w:before="2" w:after="0" w:line="110" w:lineRule="exact"/>
              <w:rPr>
                <w:rFonts w:cstheme="minorHAnsi"/>
                <w:szCs w:val="11"/>
              </w:rPr>
            </w:pPr>
          </w:p>
          <w:p w14:paraId="70A47106" w14:textId="77777777" w:rsidR="00EE0477" w:rsidRPr="00551603" w:rsidRDefault="00551603">
            <w:pPr>
              <w:spacing w:after="0" w:line="246" w:lineRule="exact"/>
              <w:ind w:left="65" w:right="-20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Total time: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6A4" w14:textId="77777777" w:rsidR="00EE0477" w:rsidRPr="00551603" w:rsidRDefault="00EE0477">
            <w:pPr>
              <w:spacing w:before="2" w:after="0" w:line="100" w:lineRule="exact"/>
              <w:rPr>
                <w:rFonts w:cstheme="minorHAnsi"/>
                <w:szCs w:val="10"/>
              </w:rPr>
            </w:pPr>
          </w:p>
          <w:p w14:paraId="24ED1E56" w14:textId="77777777" w:rsidR="00EE0477" w:rsidRPr="00551603" w:rsidRDefault="00551603">
            <w:pPr>
              <w:spacing w:after="0" w:line="240" w:lineRule="auto"/>
              <w:ind w:left="658" w:right="548"/>
              <w:jc w:val="center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8D5A" w14:textId="77777777" w:rsidR="00EE0477" w:rsidRPr="00551603" w:rsidRDefault="00EE0477">
            <w:pPr>
              <w:spacing w:before="2" w:after="0" w:line="100" w:lineRule="exact"/>
              <w:rPr>
                <w:rFonts w:cstheme="minorHAnsi"/>
                <w:szCs w:val="10"/>
              </w:rPr>
            </w:pPr>
          </w:p>
          <w:p w14:paraId="318893CE" w14:textId="35773228" w:rsidR="00EE0477" w:rsidRPr="00551603" w:rsidRDefault="00551603">
            <w:pPr>
              <w:spacing w:after="0" w:line="240" w:lineRule="auto"/>
              <w:ind w:left="189" w:right="-51"/>
              <w:rPr>
                <w:rFonts w:eastAsia="Rockwell" w:cstheme="minorHAnsi"/>
                <w:szCs w:val="21"/>
              </w:rPr>
            </w:pPr>
            <w:r w:rsidRPr="00551603">
              <w:rPr>
                <w:rFonts w:eastAsia="Rockwell" w:cstheme="minorHAnsi"/>
                <w:szCs w:val="21"/>
              </w:rPr>
              <w:t>5</w:t>
            </w:r>
            <w:r w:rsidR="00B8661D">
              <w:rPr>
                <w:rFonts w:eastAsia="Rockwell" w:cstheme="minorHAnsi"/>
                <w:szCs w:val="21"/>
              </w:rPr>
              <w:t>0</w:t>
            </w:r>
            <w:r w:rsidRPr="00551603">
              <w:rPr>
                <w:rFonts w:eastAsia="Rockwell" w:cstheme="minorHAnsi"/>
                <w:szCs w:val="21"/>
              </w:rPr>
              <w:t xml:space="preserve"> </w:t>
            </w:r>
            <w:proofErr w:type="spellStart"/>
            <w:r w:rsidRPr="00551603">
              <w:rPr>
                <w:rFonts w:eastAsia="Rockwell" w:cstheme="minorHAnsi"/>
                <w:szCs w:val="21"/>
              </w:rPr>
              <w:t>Hrs</w:t>
            </w:r>
            <w:proofErr w:type="spellEnd"/>
            <w:r w:rsidRPr="00551603">
              <w:rPr>
                <w:rFonts w:eastAsia="Rockwell" w:cstheme="minorHAnsi"/>
                <w:szCs w:val="21"/>
              </w:rPr>
              <w:t xml:space="preserve"> </w:t>
            </w:r>
          </w:p>
        </w:tc>
      </w:tr>
    </w:tbl>
    <w:p w14:paraId="5DE9F835" w14:textId="77777777" w:rsidR="00EE0477" w:rsidRPr="00551603" w:rsidRDefault="00EE0477">
      <w:pPr>
        <w:spacing w:before="16" w:after="0" w:line="220" w:lineRule="exact"/>
        <w:rPr>
          <w:rFonts w:cstheme="minorHAnsi"/>
        </w:rPr>
      </w:pPr>
    </w:p>
    <w:p w14:paraId="09D833AB" w14:textId="5841E214" w:rsidR="00632D97" w:rsidRPr="00AF0584" w:rsidRDefault="002F11F2" w:rsidP="00632D97">
      <w:pPr>
        <w:spacing w:before="18" w:after="0" w:line="200" w:lineRule="exact"/>
        <w:rPr>
          <w:rFonts w:ascii="Times New Roman" w:hAnsi="Times New Roman" w:cs="Times New Roman"/>
          <w:sz w:val="24"/>
          <w:szCs w:val="24"/>
        </w:rPr>
      </w:pPr>
      <w:r w:rsidRPr="002F11F2">
        <w:rPr>
          <w:rFonts w:ascii="Times New Roman" w:hAnsi="Times New Roman" w:cs="Times New Roman"/>
          <w:sz w:val="24"/>
          <w:szCs w:val="24"/>
        </w:rPr>
        <w:t xml:space="preserve">A 4-unit course meets 3 hours and 50 minutes per week for 15 weeks </w:t>
      </w:r>
      <w:r w:rsidR="00632D97">
        <w:rPr>
          <w:rFonts w:ascii="Times New Roman" w:hAnsi="Times New Roman" w:cs="Times New Roman"/>
          <w:sz w:val="24"/>
          <w:szCs w:val="24"/>
        </w:rPr>
        <w:t>– 2-hour (holiday)=</w:t>
      </w:r>
      <w:r w:rsidR="00632D97">
        <w:rPr>
          <w:rFonts w:ascii="Times New Roman" w:hAnsi="Times New Roman" w:cs="Times New Roman"/>
          <w:sz w:val="24"/>
          <w:szCs w:val="24"/>
        </w:rPr>
        <w:t>55.5</w:t>
      </w:r>
      <w:r w:rsidR="00632D97">
        <w:rPr>
          <w:rFonts w:ascii="Times New Roman" w:hAnsi="Times New Roman" w:cs="Times New Roman"/>
          <w:sz w:val="24"/>
          <w:szCs w:val="24"/>
        </w:rPr>
        <w:t xml:space="preserve"> hours not counting the final week</w:t>
      </w:r>
      <w:r w:rsidR="00632D97" w:rsidRPr="00451B67">
        <w:rPr>
          <w:rFonts w:ascii="Times New Roman" w:hAnsi="Times New Roman" w:cs="Times New Roman"/>
          <w:sz w:val="24"/>
          <w:szCs w:val="24"/>
        </w:rPr>
        <w:t>. This timeline allows for ​</w:t>
      </w:r>
      <w:r w:rsidR="00BB222D">
        <w:rPr>
          <w:rFonts w:ascii="Times New Roman" w:hAnsi="Times New Roman" w:cs="Times New Roman"/>
          <w:sz w:val="24"/>
          <w:szCs w:val="24"/>
        </w:rPr>
        <w:t>50</w:t>
      </w:r>
      <w:r w:rsidR="00632D97">
        <w:rPr>
          <w:rFonts w:ascii="Times New Roman" w:hAnsi="Times New Roman" w:cs="Times New Roman"/>
          <w:sz w:val="24"/>
          <w:szCs w:val="24"/>
        </w:rPr>
        <w:t xml:space="preserve"> </w:t>
      </w:r>
      <w:r w:rsidR="00632D97" w:rsidRPr="00451B67">
        <w:rPr>
          <w:rFonts w:ascii="Times New Roman" w:hAnsi="Times New Roman" w:cs="Times New Roman"/>
          <w:sz w:val="24"/>
          <w:szCs w:val="24"/>
        </w:rPr>
        <w:t>hours to cover material</w:t>
      </w:r>
      <w:r w:rsidR="00632D97">
        <w:rPr>
          <w:rFonts w:ascii="Times New Roman" w:hAnsi="Times New Roman" w:cs="Times New Roman"/>
          <w:sz w:val="24"/>
          <w:szCs w:val="24"/>
        </w:rPr>
        <w:t xml:space="preserve"> and </w:t>
      </w:r>
      <w:r w:rsidR="00B8661D">
        <w:rPr>
          <w:rFonts w:ascii="Times New Roman" w:hAnsi="Times New Roman" w:cs="Times New Roman"/>
          <w:sz w:val="24"/>
          <w:szCs w:val="24"/>
        </w:rPr>
        <w:t>5</w:t>
      </w:r>
      <w:r w:rsidR="00632D97">
        <w:rPr>
          <w:rFonts w:ascii="Times New Roman" w:hAnsi="Times New Roman" w:cs="Times New Roman"/>
          <w:sz w:val="24"/>
          <w:szCs w:val="24"/>
        </w:rPr>
        <w:t>.5</w:t>
      </w:r>
      <w:r w:rsidR="00632D97" w:rsidRPr="00451B67">
        <w:rPr>
          <w:rFonts w:ascii="Times New Roman" w:hAnsi="Times New Roman" w:cs="Times New Roman"/>
          <w:sz w:val="24"/>
          <w:szCs w:val="24"/>
        </w:rPr>
        <w:t xml:space="preserve"> hours allotted for testing.</w:t>
      </w:r>
    </w:p>
    <w:p w14:paraId="4642D07B" w14:textId="77777777" w:rsidR="00632D97" w:rsidRDefault="00632D97" w:rsidP="00632D97">
      <w:pPr>
        <w:spacing w:after="0" w:line="240" w:lineRule="auto"/>
        <w:ind w:right="-20"/>
        <w:rPr>
          <w:rFonts w:ascii="Times New Roman" w:eastAsia="Rockwell" w:hAnsi="Times New Roman" w:cs="Times New Roman"/>
          <w:b/>
          <w:sz w:val="24"/>
          <w:szCs w:val="24"/>
        </w:rPr>
      </w:pPr>
    </w:p>
    <w:p w14:paraId="2899AEDB" w14:textId="0C44E2B7" w:rsidR="007B1DFD" w:rsidRPr="002F64AE" w:rsidRDefault="007B1DFD">
      <w:pPr>
        <w:spacing w:before="18"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713AD4C" w14:textId="77777777" w:rsidR="00967C9C" w:rsidRPr="00967C9C" w:rsidRDefault="00967C9C" w:rsidP="00967C9C">
      <w:pPr>
        <w:spacing w:after="0" w:line="240" w:lineRule="auto"/>
        <w:ind w:right="-20"/>
        <w:rPr>
          <w:rFonts w:ascii="Times New Roman" w:eastAsia="Rockwell" w:hAnsi="Times New Roman" w:cs="Times New Roman"/>
          <w:b/>
          <w:sz w:val="24"/>
          <w:szCs w:val="24"/>
        </w:rPr>
      </w:pPr>
      <w:r w:rsidRPr="00967C9C">
        <w:rPr>
          <w:rFonts w:ascii="Times New Roman" w:eastAsia="Rockwell" w:hAnsi="Times New Roman" w:cs="Times New Roman"/>
          <w:b/>
          <w:sz w:val="24"/>
          <w:szCs w:val="24"/>
        </w:rPr>
        <w:t xml:space="preserve">FACULTY EXPECTATIONS: </w:t>
      </w:r>
    </w:p>
    <w:p w14:paraId="066F073F" w14:textId="728B071C" w:rsidR="00BA5981" w:rsidRPr="00BA5981" w:rsidRDefault="00BA5981" w:rsidP="00BA5981">
      <w:pPr>
        <w:pStyle w:val="ListParagraph"/>
        <w:numPr>
          <w:ilvl w:val="0"/>
          <w:numId w:val="2"/>
        </w:numPr>
        <w:spacing w:before="55" w:after="0" w:line="255" w:lineRule="auto"/>
        <w:ind w:right="168"/>
        <w:rPr>
          <w:rFonts w:ascii="Times New Roman" w:eastAsia="Rockwell" w:hAnsi="Times New Roman" w:cs="Times New Roman"/>
          <w:sz w:val="24"/>
          <w:szCs w:val="24"/>
        </w:rPr>
      </w:pPr>
      <w:r w:rsidRPr="007B1DFD">
        <w:rPr>
          <w:rFonts w:ascii="Times New Roman" w:eastAsia="Rockwell" w:hAnsi="Times New Roman" w:cs="Times New Roman"/>
          <w:sz w:val="24"/>
          <w:szCs w:val="24"/>
        </w:rPr>
        <w:t xml:space="preserve">It is expected that a student leaving this course will have had experience with a computer algebra system. A minimum of </w:t>
      </w:r>
      <w:r>
        <w:rPr>
          <w:rFonts w:ascii="Times New Roman" w:eastAsia="Rockwell" w:hAnsi="Times New Roman" w:cs="Times New Roman"/>
          <w:sz w:val="24"/>
          <w:szCs w:val="24"/>
        </w:rPr>
        <w:t>one</w:t>
      </w:r>
      <w:r w:rsidRPr="007B1DFD">
        <w:rPr>
          <w:rFonts w:ascii="Times New Roman" w:eastAsia="Rockwell" w:hAnsi="Times New Roman" w:cs="Times New Roman"/>
          <w:sz w:val="24"/>
          <w:szCs w:val="24"/>
        </w:rPr>
        <w:t xml:space="preserve"> computer assignment is needed. </w:t>
      </w:r>
    </w:p>
    <w:p w14:paraId="1E261D9A" w14:textId="64C220BE" w:rsidR="00EE0477" w:rsidRPr="007B1DFD" w:rsidRDefault="00551603" w:rsidP="007B1DFD">
      <w:pPr>
        <w:pStyle w:val="ListParagraph"/>
        <w:numPr>
          <w:ilvl w:val="0"/>
          <w:numId w:val="2"/>
        </w:numPr>
        <w:spacing w:before="3" w:after="0" w:line="240" w:lineRule="auto"/>
        <w:ind w:right="-20"/>
        <w:rPr>
          <w:rFonts w:ascii="Times New Roman" w:eastAsia="Rockwell" w:hAnsi="Times New Roman" w:cs="Times New Roman"/>
          <w:sz w:val="24"/>
          <w:szCs w:val="24"/>
        </w:rPr>
      </w:pPr>
      <w:r w:rsidRPr="007B1DFD">
        <w:rPr>
          <w:rFonts w:ascii="Times New Roman" w:eastAsia="Rockwell" w:hAnsi="Times New Roman" w:cs="Times New Roman"/>
          <w:sz w:val="24"/>
          <w:szCs w:val="24"/>
        </w:rPr>
        <w:t>At least 25% of the grade should be based on student performance without the aid of a graphing</w:t>
      </w:r>
      <w:r w:rsidR="002F64AE" w:rsidRPr="007B1DFD">
        <w:rPr>
          <w:rFonts w:ascii="Times New Roman" w:eastAsia="Rockwell" w:hAnsi="Times New Roman" w:cs="Times New Roman"/>
          <w:sz w:val="24"/>
          <w:szCs w:val="24"/>
        </w:rPr>
        <w:t xml:space="preserve">            </w:t>
      </w:r>
      <w:r w:rsidRPr="007B1DFD">
        <w:rPr>
          <w:rFonts w:ascii="Times New Roman" w:eastAsia="Rockwell" w:hAnsi="Times New Roman" w:cs="Times New Roman"/>
          <w:sz w:val="24"/>
          <w:szCs w:val="24"/>
        </w:rPr>
        <w:t xml:space="preserve"> </w:t>
      </w:r>
      <w:r w:rsidR="002F64AE" w:rsidRPr="007B1DFD">
        <w:rPr>
          <w:rFonts w:ascii="Times New Roman" w:eastAsia="Rockwell" w:hAnsi="Times New Roman" w:cs="Times New Roman"/>
          <w:sz w:val="24"/>
          <w:szCs w:val="24"/>
        </w:rPr>
        <w:t xml:space="preserve">    </w:t>
      </w:r>
      <w:r w:rsidRPr="007B1DFD">
        <w:rPr>
          <w:rFonts w:ascii="Times New Roman" w:eastAsia="Rockwell" w:hAnsi="Times New Roman" w:cs="Times New Roman"/>
          <w:sz w:val="24"/>
          <w:szCs w:val="24"/>
        </w:rPr>
        <w:t xml:space="preserve">calculator or computer. </w:t>
      </w:r>
    </w:p>
    <w:p w14:paraId="3C4C0AC1" w14:textId="79D834FC" w:rsidR="00EE0477" w:rsidRPr="007B1DFD" w:rsidRDefault="00551603" w:rsidP="007B1DFD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Times New Roman" w:eastAsia="Rockwell" w:hAnsi="Times New Roman" w:cs="Times New Roman"/>
          <w:sz w:val="24"/>
          <w:szCs w:val="24"/>
        </w:rPr>
      </w:pPr>
      <w:r w:rsidRPr="007B1DFD">
        <w:rPr>
          <w:rFonts w:ascii="Times New Roman" w:eastAsia="Rockwell" w:hAnsi="Times New Roman" w:cs="Times New Roman"/>
          <w:sz w:val="24"/>
          <w:szCs w:val="24"/>
        </w:rPr>
        <w:t xml:space="preserve">Chapters 4 and 5 are extremely important in Math 181. Instructors need to spend sufficient time on these sections. </w:t>
      </w:r>
    </w:p>
    <w:p w14:paraId="4C45736A" w14:textId="6C47D1F5" w:rsidR="00EE0477" w:rsidRPr="007B1DFD" w:rsidRDefault="00551603" w:rsidP="007B1DFD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Times New Roman" w:eastAsia="Rockwell" w:hAnsi="Times New Roman" w:cs="Times New Roman"/>
          <w:sz w:val="24"/>
          <w:szCs w:val="24"/>
        </w:rPr>
      </w:pPr>
      <w:r w:rsidRPr="007B1DFD">
        <w:rPr>
          <w:rFonts w:ascii="Times New Roman" w:eastAsia="Rockwell" w:hAnsi="Times New Roman" w:cs="Times New Roman"/>
          <w:sz w:val="24"/>
          <w:szCs w:val="24"/>
        </w:rPr>
        <w:t xml:space="preserve">Practice exams can indicate types of problems but actual problems should be substantially different. </w:t>
      </w:r>
    </w:p>
    <w:p w14:paraId="5EFCE40F" w14:textId="77777777" w:rsidR="002F64AE" w:rsidRDefault="002F64AE">
      <w:pPr>
        <w:spacing w:after="0" w:line="240" w:lineRule="auto"/>
        <w:ind w:left="201" w:right="-20"/>
        <w:rPr>
          <w:rFonts w:ascii="Times New Roman" w:eastAsia="Rockwell" w:hAnsi="Times New Roman" w:cs="Times New Roman"/>
          <w:sz w:val="24"/>
          <w:szCs w:val="24"/>
        </w:rPr>
      </w:pPr>
    </w:p>
    <w:p w14:paraId="65DF49A5" w14:textId="77777777" w:rsidR="007B1DFD" w:rsidRPr="002F64AE" w:rsidRDefault="007B1DFD">
      <w:pPr>
        <w:spacing w:after="0" w:line="240" w:lineRule="auto"/>
        <w:ind w:left="201" w:right="-20"/>
        <w:rPr>
          <w:rFonts w:ascii="Times New Roman" w:eastAsia="Rockwell" w:hAnsi="Times New Roman" w:cs="Times New Roman"/>
          <w:sz w:val="24"/>
          <w:szCs w:val="24"/>
        </w:rPr>
      </w:pPr>
    </w:p>
    <w:p w14:paraId="2376D264" w14:textId="72A10DA3" w:rsidR="00EE0477" w:rsidRPr="00BD0F0F" w:rsidRDefault="00551603">
      <w:pPr>
        <w:spacing w:after="0" w:line="240" w:lineRule="auto"/>
        <w:ind w:left="201" w:right="-20"/>
        <w:rPr>
          <w:rFonts w:ascii="Times New Roman" w:eastAsia="Rockwell" w:hAnsi="Times New Roman" w:cs="Times New Roman"/>
          <w:sz w:val="20"/>
          <w:szCs w:val="20"/>
        </w:rPr>
      </w:pPr>
      <w:r w:rsidRPr="00BD0F0F">
        <w:rPr>
          <w:rFonts w:ascii="Times New Roman" w:eastAsia="Rockwell" w:hAnsi="Times New Roman" w:cs="Times New Roman"/>
          <w:sz w:val="20"/>
          <w:szCs w:val="20"/>
        </w:rPr>
        <w:t>Submitted by:</w:t>
      </w:r>
      <w:r w:rsidR="00AB2DEE" w:rsidRPr="00BD0F0F">
        <w:rPr>
          <w:rFonts w:ascii="Times New Roman" w:eastAsia="Rockwell" w:hAnsi="Times New Roman" w:cs="Times New Roman"/>
          <w:sz w:val="20"/>
          <w:szCs w:val="20"/>
        </w:rPr>
        <w:t xml:space="preserve"> </w:t>
      </w:r>
      <w:r w:rsidR="002A235D" w:rsidRPr="00BD0F0F">
        <w:rPr>
          <w:rFonts w:ascii="Times New Roman" w:eastAsia="Rockwell" w:hAnsi="Times New Roman" w:cs="Times New Roman"/>
          <w:sz w:val="20"/>
          <w:szCs w:val="20"/>
        </w:rPr>
        <w:t>Basilio</w:t>
      </w:r>
      <w:r w:rsidR="00AB2DEE" w:rsidRPr="00BD0F0F">
        <w:rPr>
          <w:rFonts w:ascii="Times New Roman" w:eastAsia="Rockwell" w:hAnsi="Times New Roman" w:cs="Times New Roman"/>
          <w:sz w:val="20"/>
          <w:szCs w:val="20"/>
        </w:rPr>
        <w:t>, Case</w:t>
      </w:r>
      <w:r w:rsidRPr="00BD0F0F">
        <w:rPr>
          <w:rFonts w:ascii="Times New Roman" w:eastAsia="Rockwell" w:hAnsi="Times New Roman" w:cs="Times New Roman"/>
          <w:sz w:val="20"/>
          <w:szCs w:val="20"/>
        </w:rPr>
        <w:t xml:space="preserve">, </w:t>
      </w:r>
      <w:r w:rsidR="00AB2DEE" w:rsidRPr="00BD0F0F">
        <w:rPr>
          <w:rFonts w:ascii="Times New Roman" w:eastAsia="Rockwell" w:hAnsi="Times New Roman" w:cs="Times New Roman"/>
          <w:sz w:val="20"/>
          <w:szCs w:val="20"/>
        </w:rPr>
        <w:t>Childress</w:t>
      </w:r>
      <w:r w:rsidRPr="00BD0F0F">
        <w:rPr>
          <w:rFonts w:ascii="Times New Roman" w:eastAsia="Rockwell" w:hAnsi="Times New Roman" w:cs="Times New Roman"/>
          <w:sz w:val="20"/>
          <w:szCs w:val="20"/>
        </w:rPr>
        <w:t>,</w:t>
      </w:r>
      <w:r w:rsidR="008B6244" w:rsidRPr="008B6244">
        <w:rPr>
          <w:rFonts w:ascii="Times New Roman" w:eastAsia="Rockwell" w:hAnsi="Times New Roman" w:cs="Times New Roman"/>
          <w:sz w:val="20"/>
          <w:szCs w:val="20"/>
        </w:rPr>
        <w:t xml:space="preserve"> </w:t>
      </w:r>
      <w:r w:rsidR="008B6244" w:rsidRPr="00C8695B">
        <w:rPr>
          <w:rFonts w:ascii="Times New Roman" w:eastAsia="Rockwell" w:hAnsi="Times New Roman" w:cs="Times New Roman"/>
          <w:sz w:val="20"/>
          <w:szCs w:val="20"/>
        </w:rPr>
        <w:t>Griffith</w:t>
      </w:r>
      <w:r w:rsidR="008B6244">
        <w:rPr>
          <w:rFonts w:ascii="Times New Roman" w:eastAsia="Rockwell" w:hAnsi="Times New Roman" w:cs="Times New Roman"/>
          <w:sz w:val="20"/>
          <w:szCs w:val="20"/>
        </w:rPr>
        <w:t>,</w:t>
      </w:r>
      <w:r w:rsidRPr="00BD0F0F">
        <w:rPr>
          <w:rFonts w:ascii="Times New Roman" w:eastAsia="Rockwell" w:hAnsi="Times New Roman" w:cs="Times New Roman"/>
          <w:sz w:val="20"/>
          <w:szCs w:val="20"/>
        </w:rPr>
        <w:t xml:space="preserve"> Kojima, </w:t>
      </w:r>
      <w:r w:rsidR="00AB2DEE" w:rsidRPr="00BD0F0F">
        <w:rPr>
          <w:rFonts w:ascii="Times New Roman" w:eastAsia="Rockwell" w:hAnsi="Times New Roman" w:cs="Times New Roman"/>
          <w:sz w:val="20"/>
          <w:szCs w:val="20"/>
        </w:rPr>
        <w:t xml:space="preserve">Lai, Lee, Morales, </w:t>
      </w:r>
      <w:r w:rsidRPr="00BD0F0F">
        <w:rPr>
          <w:rFonts w:ascii="Times New Roman" w:eastAsia="Rockwell" w:hAnsi="Times New Roman" w:cs="Times New Roman"/>
          <w:sz w:val="20"/>
          <w:szCs w:val="20"/>
        </w:rPr>
        <w:t xml:space="preserve">Nguyen, </w:t>
      </w:r>
      <w:r w:rsidR="00AB2DEE" w:rsidRPr="00BD0F0F">
        <w:rPr>
          <w:rFonts w:ascii="Times New Roman" w:eastAsia="Rockwell" w:hAnsi="Times New Roman" w:cs="Times New Roman"/>
          <w:sz w:val="20"/>
          <w:szCs w:val="20"/>
        </w:rPr>
        <w:t xml:space="preserve">Perez, Sun, </w:t>
      </w:r>
      <w:r w:rsidRPr="00BD0F0F">
        <w:rPr>
          <w:rFonts w:ascii="Times New Roman" w:eastAsia="Rockwell" w:hAnsi="Times New Roman" w:cs="Times New Roman"/>
          <w:sz w:val="20"/>
          <w:szCs w:val="20"/>
        </w:rPr>
        <w:t>Tran</w:t>
      </w:r>
      <w:r w:rsidR="00AB2DEE" w:rsidRPr="00BD0F0F">
        <w:rPr>
          <w:rFonts w:ascii="Times New Roman" w:eastAsia="Rockwell" w:hAnsi="Times New Roman" w:cs="Times New Roman"/>
          <w:sz w:val="20"/>
          <w:szCs w:val="20"/>
        </w:rPr>
        <w:t xml:space="preserve">, </w:t>
      </w:r>
      <w:proofErr w:type="spellStart"/>
      <w:r w:rsidR="00AB2DEE" w:rsidRPr="00BD0F0F">
        <w:rPr>
          <w:rFonts w:ascii="Times New Roman" w:eastAsia="Rockwell" w:hAnsi="Times New Roman" w:cs="Times New Roman"/>
          <w:sz w:val="20"/>
          <w:szCs w:val="20"/>
        </w:rPr>
        <w:t>Wohlgezogen</w:t>
      </w:r>
      <w:proofErr w:type="spellEnd"/>
      <w:r w:rsidR="00AB2DEE" w:rsidRPr="00BD0F0F">
        <w:rPr>
          <w:rFonts w:ascii="Times New Roman" w:eastAsia="Rockwell" w:hAnsi="Times New Roman" w:cs="Times New Roman"/>
          <w:sz w:val="20"/>
          <w:szCs w:val="20"/>
        </w:rPr>
        <w:t>, Young</w:t>
      </w:r>
    </w:p>
    <w:p w14:paraId="5EEFADB3" w14:textId="5CC7E524" w:rsidR="000D65A9" w:rsidRPr="000D65A9" w:rsidRDefault="000D65A9">
      <w:pPr>
        <w:spacing w:after="0" w:line="240" w:lineRule="auto"/>
        <w:ind w:left="201" w:right="-20"/>
        <w:rPr>
          <w:rFonts w:ascii="Times New Roman" w:eastAsia="Rockwell" w:hAnsi="Times New Roman" w:cs="Times New Roman"/>
          <w:sz w:val="20"/>
          <w:szCs w:val="20"/>
        </w:rPr>
      </w:pPr>
      <w:r w:rsidRPr="000D65A9">
        <w:rPr>
          <w:rFonts w:ascii="Times New Roman" w:eastAsia="Rockwell" w:hAnsi="Times New Roman" w:cs="Times New Roman"/>
          <w:sz w:val="20"/>
          <w:szCs w:val="20"/>
        </w:rPr>
        <w:t xml:space="preserve">Math Department Policy can be found at: </w:t>
      </w:r>
      <w:hyperlink r:id="rId7" w:history="1">
        <w:r w:rsidR="00E81327" w:rsidRPr="0074484F">
          <w:rPr>
            <w:rStyle w:val="Hyperlink"/>
            <w:rFonts w:ascii="Times New Roman" w:eastAsia="Rockwell" w:hAnsi="Times New Roman" w:cs="Times New Roman"/>
            <w:sz w:val="20"/>
            <w:szCs w:val="20"/>
          </w:rPr>
          <w:t>https://www.mtsac.edu/math/departmentpolicy.html</w:t>
        </w:r>
      </w:hyperlink>
      <w:r w:rsidR="00E81327">
        <w:rPr>
          <w:rFonts w:ascii="Times New Roman" w:eastAsia="Rockwell" w:hAnsi="Times New Roman" w:cs="Times New Roman"/>
          <w:sz w:val="20"/>
          <w:szCs w:val="20"/>
        </w:rPr>
        <w:t xml:space="preserve"> </w:t>
      </w:r>
    </w:p>
    <w:sectPr w:rsidR="000D65A9" w:rsidRPr="000D65A9">
      <w:headerReference w:type="default" r:id="rId8"/>
      <w:type w:val="continuous"/>
      <w:pgSz w:w="12240" w:h="15840"/>
      <w:pgMar w:top="1040" w:right="7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2874D" w14:textId="77777777" w:rsidR="00055C55" w:rsidRDefault="00055C55" w:rsidP="00D6524B">
      <w:pPr>
        <w:spacing w:after="0" w:line="240" w:lineRule="auto"/>
      </w:pPr>
      <w:r>
        <w:separator/>
      </w:r>
    </w:p>
  </w:endnote>
  <w:endnote w:type="continuationSeparator" w:id="0">
    <w:p w14:paraId="125B8EC4" w14:textId="77777777" w:rsidR="00055C55" w:rsidRDefault="00055C55" w:rsidP="00D6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1A370" w14:textId="77777777" w:rsidR="00055C55" w:rsidRDefault="00055C55" w:rsidP="00D6524B">
      <w:pPr>
        <w:spacing w:after="0" w:line="240" w:lineRule="auto"/>
      </w:pPr>
      <w:r>
        <w:separator/>
      </w:r>
    </w:p>
  </w:footnote>
  <w:footnote w:type="continuationSeparator" w:id="0">
    <w:p w14:paraId="2206C6E4" w14:textId="77777777" w:rsidR="00055C55" w:rsidRDefault="00055C55" w:rsidP="00D6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9E9E8" w14:textId="3BB25EA9" w:rsidR="00D6524B" w:rsidRDefault="00D6524B" w:rsidP="00D6524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MATH 180 OUTLINE</w:t>
    </w:r>
  </w:p>
  <w:p w14:paraId="627000B9" w14:textId="13AADAB9" w:rsidR="00D6524B" w:rsidRDefault="00D6524B" w:rsidP="00D6524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CALCULUS AND ANALYTIC GEOMETRY</w:t>
    </w:r>
  </w:p>
  <w:p w14:paraId="0E841BE1" w14:textId="033AAEAA" w:rsidR="00D6524B" w:rsidRPr="00D6524B" w:rsidRDefault="00D6524B" w:rsidP="00D6524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TEXT:  Calculus, Early Transcendentals, </w:t>
    </w:r>
    <w:r w:rsidR="00CB69C8">
      <w:rPr>
        <w:sz w:val="28"/>
        <w:szCs w:val="28"/>
      </w:rPr>
      <w:t>9</w:t>
    </w:r>
    <w:r w:rsidR="002F64AE" w:rsidRPr="002F64AE">
      <w:rPr>
        <w:sz w:val="28"/>
        <w:szCs w:val="28"/>
        <w:vertAlign w:val="superscript"/>
      </w:rPr>
      <w:t>th</w:t>
    </w:r>
    <w:r w:rsidR="002F64AE">
      <w:rPr>
        <w:sz w:val="28"/>
        <w:szCs w:val="28"/>
      </w:rPr>
      <w:t xml:space="preserve"> edition, </w:t>
    </w:r>
    <w:r>
      <w:rPr>
        <w:sz w:val="28"/>
        <w:szCs w:val="28"/>
      </w:rPr>
      <w:t>Stewart</w:t>
    </w:r>
    <w:r w:rsidR="00CB69C8">
      <w:rPr>
        <w:sz w:val="28"/>
        <w:szCs w:val="28"/>
      </w:rPr>
      <w:t>, Clegg, and Watson</w:t>
    </w:r>
  </w:p>
  <w:p w14:paraId="41B0CB5C" w14:textId="77777777" w:rsidR="00D6524B" w:rsidRDefault="00D65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3F76"/>
    <w:multiLevelType w:val="hybridMultilevel"/>
    <w:tmpl w:val="3B48ABBA"/>
    <w:lvl w:ilvl="0" w:tplc="5888D28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233443EF"/>
    <w:multiLevelType w:val="hybridMultilevel"/>
    <w:tmpl w:val="D412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20790">
    <w:abstractNumId w:val="1"/>
  </w:num>
  <w:num w:numId="2" w16cid:durableId="114635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77"/>
    <w:rsid w:val="00055C55"/>
    <w:rsid w:val="000D65A9"/>
    <w:rsid w:val="0020241C"/>
    <w:rsid w:val="002A235D"/>
    <w:rsid w:val="002F11F2"/>
    <w:rsid w:val="002F64AE"/>
    <w:rsid w:val="004A7186"/>
    <w:rsid w:val="00537032"/>
    <w:rsid w:val="00551603"/>
    <w:rsid w:val="00632D97"/>
    <w:rsid w:val="00781F6D"/>
    <w:rsid w:val="007A63DA"/>
    <w:rsid w:val="007B1DFD"/>
    <w:rsid w:val="007C344E"/>
    <w:rsid w:val="007D14A5"/>
    <w:rsid w:val="008B6244"/>
    <w:rsid w:val="008C3966"/>
    <w:rsid w:val="00967C9C"/>
    <w:rsid w:val="00A96528"/>
    <w:rsid w:val="00AB2DEE"/>
    <w:rsid w:val="00B8661D"/>
    <w:rsid w:val="00BA5981"/>
    <w:rsid w:val="00BB222D"/>
    <w:rsid w:val="00BD0F0F"/>
    <w:rsid w:val="00BD4C60"/>
    <w:rsid w:val="00CB69C8"/>
    <w:rsid w:val="00CE31B0"/>
    <w:rsid w:val="00D6524B"/>
    <w:rsid w:val="00E81327"/>
    <w:rsid w:val="00EE0477"/>
    <w:rsid w:val="00EF6CD9"/>
    <w:rsid w:val="00F80486"/>
    <w:rsid w:val="00F85C1B"/>
    <w:rsid w:val="00F941CC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E94"/>
  <w15:docId w15:val="{B2BCE0E7-0375-F640-BDE1-7368CB27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link w:val="Heading3Char"/>
    <w:uiPriority w:val="1"/>
    <w:semiHidden/>
    <w:unhideWhenUsed/>
    <w:qFormat/>
    <w:rsid w:val="002F64AE"/>
    <w:pPr>
      <w:spacing w:after="0" w:line="240" w:lineRule="auto"/>
      <w:ind w:left="147"/>
      <w:outlineLvl w:val="2"/>
    </w:pPr>
    <w:rPr>
      <w:rFonts w:ascii="Arial Narrow" w:eastAsia="Arial Narrow" w:hAnsi="Arial Narrow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4B"/>
  </w:style>
  <w:style w:type="paragraph" w:styleId="Footer">
    <w:name w:val="footer"/>
    <w:basedOn w:val="Normal"/>
    <w:link w:val="FooterChar"/>
    <w:uiPriority w:val="99"/>
    <w:unhideWhenUsed/>
    <w:rsid w:val="00D6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4B"/>
  </w:style>
  <w:style w:type="character" w:customStyle="1" w:styleId="Heading3Char">
    <w:name w:val="Heading 3 Char"/>
    <w:basedOn w:val="DefaultParagraphFont"/>
    <w:link w:val="Heading3"/>
    <w:uiPriority w:val="1"/>
    <w:semiHidden/>
    <w:rsid w:val="002F64AE"/>
    <w:rPr>
      <w:rFonts w:ascii="Arial Narrow" w:eastAsia="Arial Narrow" w:hAnsi="Arial Narrow" w:cs="Times New Roman"/>
    </w:rPr>
  </w:style>
  <w:style w:type="paragraph" w:styleId="ListParagraph">
    <w:name w:val="List Paragraph"/>
    <w:basedOn w:val="Normal"/>
    <w:uiPriority w:val="34"/>
    <w:qFormat/>
    <w:rsid w:val="007B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3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tsac.edu/math/department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Math180-Stewart 8th.docx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Math180-Stewart 8th.docx</dc:title>
  <dc:creator>Tamayo, Jimmy</dc:creator>
  <cp:lastModifiedBy>Nguyen, Bao-Chi</cp:lastModifiedBy>
  <cp:revision>13</cp:revision>
  <dcterms:created xsi:type="dcterms:W3CDTF">2026-06-03T08:08:00Z</dcterms:created>
  <dcterms:modified xsi:type="dcterms:W3CDTF">2026-06-08T15:15:00Z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2018-09-10T00:00:00Z</vt:filetime>
  </property>
</Properties>
</file>