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6694C" w14:textId="77777777" w:rsidR="007A7397" w:rsidRPr="002069CA" w:rsidRDefault="007A7397" w:rsidP="007A7397">
      <w:pPr>
        <w:spacing w:after="0"/>
        <w:ind w:right="1"/>
        <w:jc w:val="right"/>
        <w:rPr>
          <w:rFonts w:asciiTheme="majorHAnsi" w:hAnsiTheme="majorHAnsi" w:cstheme="majorHAnsi"/>
          <w:color w:val="4472C4" w:themeColor="accent5"/>
        </w:rPr>
      </w:pPr>
      <w:bookmarkStart w:id="0" w:name="_GoBack"/>
      <w:bookmarkEnd w:id="0"/>
      <w:r w:rsidRPr="002069CA">
        <w:rPr>
          <w:rFonts w:asciiTheme="majorHAnsi" w:eastAsia="Tahoma" w:hAnsiTheme="majorHAnsi" w:cstheme="majorHAnsi"/>
          <w:b/>
          <w:color w:val="4472C4" w:themeColor="accent5"/>
          <w:sz w:val="28"/>
        </w:rPr>
        <w:t xml:space="preserve">Minutes </w:t>
      </w:r>
    </w:p>
    <w:p w14:paraId="2F0248AD" w14:textId="45B9891F" w:rsidR="007A7397" w:rsidRPr="002069CA" w:rsidRDefault="007A7397" w:rsidP="007A7397">
      <w:pPr>
        <w:tabs>
          <w:tab w:val="center" w:pos="3835"/>
          <w:tab w:val="right" w:pos="14837"/>
        </w:tabs>
        <w:spacing w:after="0"/>
        <w:rPr>
          <w:rFonts w:asciiTheme="majorHAnsi" w:hAnsiTheme="majorHAnsi" w:cstheme="majorHAnsi"/>
          <w:color w:val="4472C4" w:themeColor="accent5"/>
        </w:rPr>
      </w:pPr>
      <w:r w:rsidRPr="002069CA">
        <w:rPr>
          <w:rFonts w:asciiTheme="majorHAnsi" w:hAnsiTheme="majorHAnsi" w:cstheme="majorHAnsi"/>
          <w:color w:val="4472C4" w:themeColor="accent5"/>
        </w:rPr>
        <w:tab/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32"/>
        </w:rPr>
        <w:t xml:space="preserve">Mt. San Antonio College 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32"/>
        </w:rPr>
        <w:tab/>
      </w:r>
      <w:r w:rsidR="00690211">
        <w:rPr>
          <w:rFonts w:asciiTheme="majorHAnsi" w:eastAsia="Tahoma" w:hAnsiTheme="majorHAnsi" w:cstheme="majorHAnsi"/>
          <w:b/>
          <w:color w:val="4472C4" w:themeColor="accent5"/>
          <w:sz w:val="24"/>
        </w:rPr>
        <w:t>April 1</w:t>
      </w:r>
      <w:r w:rsidR="003552E9">
        <w:rPr>
          <w:rFonts w:asciiTheme="majorHAnsi" w:eastAsia="Tahoma" w:hAnsiTheme="majorHAnsi" w:cstheme="majorHAnsi"/>
          <w:b/>
          <w:color w:val="4472C4" w:themeColor="accent5"/>
          <w:sz w:val="24"/>
        </w:rPr>
        <w:t>3</w:t>
      </w:r>
      <w:r>
        <w:rPr>
          <w:rFonts w:asciiTheme="majorHAnsi" w:eastAsia="Tahoma" w:hAnsiTheme="majorHAnsi" w:cstheme="majorHAnsi"/>
          <w:b/>
          <w:color w:val="4472C4" w:themeColor="accent5"/>
          <w:sz w:val="24"/>
        </w:rPr>
        <w:t>, 2021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 xml:space="preserve"> </w:t>
      </w:r>
    </w:p>
    <w:p w14:paraId="05AAD3F1" w14:textId="77777777" w:rsidR="007A7397" w:rsidRPr="002069CA" w:rsidRDefault="007A7397" w:rsidP="007A7397">
      <w:pPr>
        <w:tabs>
          <w:tab w:val="center" w:pos="3833"/>
          <w:tab w:val="right" w:pos="14837"/>
        </w:tabs>
        <w:spacing w:after="0"/>
        <w:rPr>
          <w:rFonts w:asciiTheme="majorHAnsi" w:hAnsiTheme="majorHAnsi" w:cstheme="majorHAnsi"/>
          <w:color w:val="4472C4" w:themeColor="accent5"/>
        </w:rPr>
      </w:pPr>
      <w:r w:rsidRPr="002069CA">
        <w:rPr>
          <w:rFonts w:asciiTheme="majorHAnsi" w:hAnsiTheme="majorHAnsi" w:cstheme="majorHAnsi"/>
          <w:color w:val="4472C4" w:themeColor="accent5"/>
        </w:rPr>
        <w:tab/>
      </w:r>
      <w:r w:rsidRPr="00FC0C8D">
        <w:rPr>
          <w:rFonts w:asciiTheme="majorHAnsi" w:eastAsia="Tahoma" w:hAnsiTheme="majorHAnsi" w:cstheme="majorHAnsi"/>
          <w:b/>
          <w:color w:val="4472C4" w:themeColor="accent5"/>
          <w:sz w:val="32"/>
        </w:rPr>
        <w:t>Retention and Persistence Committee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 xml:space="preserve"> 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ab/>
      </w:r>
      <w:r>
        <w:rPr>
          <w:rFonts w:asciiTheme="majorHAnsi" w:eastAsia="Times New Roman" w:hAnsiTheme="majorHAnsi" w:cstheme="majorHAnsi"/>
          <w:b/>
          <w:color w:val="4472C4" w:themeColor="accent5"/>
        </w:rPr>
        <w:t>3:00pm – 4:3</w:t>
      </w:r>
      <w:r w:rsidRPr="002069CA">
        <w:rPr>
          <w:rFonts w:asciiTheme="majorHAnsi" w:eastAsia="Times New Roman" w:hAnsiTheme="majorHAnsi" w:cstheme="majorHAnsi"/>
          <w:b/>
          <w:color w:val="4472C4" w:themeColor="accent5"/>
        </w:rPr>
        <w:t>0pm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32"/>
          <w:vertAlign w:val="superscript"/>
        </w:rPr>
        <w:t xml:space="preserve"> </w:t>
      </w:r>
    </w:p>
    <w:p w14:paraId="7C258484" w14:textId="77777777" w:rsidR="004876D2" w:rsidRDefault="007A7397" w:rsidP="007A7397">
      <w:pPr>
        <w:spacing w:after="0"/>
        <w:jc w:val="right"/>
        <w:rPr>
          <w:rFonts w:asciiTheme="majorHAnsi" w:eastAsia="Tahoma" w:hAnsiTheme="majorHAnsi" w:cstheme="majorHAnsi"/>
          <w:b/>
          <w:color w:val="4472C4" w:themeColor="accent5"/>
        </w:rPr>
      </w:pPr>
      <w:r w:rsidRPr="002069CA">
        <w:rPr>
          <w:rFonts w:asciiTheme="majorHAnsi" w:eastAsia="Tahoma" w:hAnsiTheme="majorHAnsi" w:cstheme="majorHAnsi"/>
          <w:b/>
          <w:color w:val="4472C4" w:themeColor="accent5"/>
        </w:rPr>
        <w:t>Zoom Meeting</w:t>
      </w:r>
    </w:p>
    <w:p w14:paraId="059175C8" w14:textId="1DA5C93A" w:rsidR="00105331" w:rsidRDefault="007A7397" w:rsidP="007A7397">
      <w:pPr>
        <w:spacing w:after="0"/>
        <w:jc w:val="right"/>
        <w:rPr>
          <w:rFonts w:asciiTheme="majorHAnsi" w:hAnsiTheme="majorHAnsi" w:cstheme="majorHAnsi"/>
          <w:color w:val="4472C4" w:themeColor="accent5"/>
          <w:sz w:val="28"/>
        </w:rPr>
      </w:pP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3953"/>
        <w:gridCol w:w="517"/>
        <w:gridCol w:w="2456"/>
        <w:gridCol w:w="534"/>
        <w:gridCol w:w="2563"/>
        <w:gridCol w:w="517"/>
        <w:gridCol w:w="3330"/>
      </w:tblGrid>
      <w:tr w:rsidR="0004492E" w14:paraId="54D8D925" w14:textId="77777777" w:rsidTr="00C77517">
        <w:trPr>
          <w:trHeight w:val="387"/>
        </w:trPr>
        <w:tc>
          <w:tcPr>
            <w:tcW w:w="517" w:type="dxa"/>
          </w:tcPr>
          <w:p w14:paraId="38603A18" w14:textId="63899133" w:rsidR="0004492E" w:rsidRDefault="0004492E" w:rsidP="0004492E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5EA18CA6" w14:textId="77777777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Jeanne Marie Velickovic (Co-Chair)</w:t>
            </w:r>
          </w:p>
        </w:tc>
        <w:tc>
          <w:tcPr>
            <w:tcW w:w="517" w:type="dxa"/>
          </w:tcPr>
          <w:p w14:paraId="769DA5A7" w14:textId="5BFAC47B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18E8E058" w14:textId="31FC6463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Julie Cortez</w:t>
            </w:r>
          </w:p>
        </w:tc>
        <w:tc>
          <w:tcPr>
            <w:tcW w:w="534" w:type="dxa"/>
          </w:tcPr>
          <w:p w14:paraId="38F3605E" w14:textId="794957A6" w:rsidR="0004492E" w:rsidRPr="00A23A75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563" w:type="dxa"/>
          </w:tcPr>
          <w:p w14:paraId="6BC4CC2A" w14:textId="46486203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Jasmine McLeod</w:t>
            </w:r>
          </w:p>
        </w:tc>
        <w:tc>
          <w:tcPr>
            <w:tcW w:w="517" w:type="dxa"/>
          </w:tcPr>
          <w:p w14:paraId="77D9552D" w14:textId="471138D5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330" w:type="dxa"/>
          </w:tcPr>
          <w:p w14:paraId="67A58B2B" w14:textId="7CC79BC0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Susan Wright</w:t>
            </w:r>
          </w:p>
        </w:tc>
      </w:tr>
      <w:tr w:rsidR="0004492E" w14:paraId="1A09CD7A" w14:textId="77777777" w:rsidTr="00C77517">
        <w:trPr>
          <w:trHeight w:val="320"/>
        </w:trPr>
        <w:tc>
          <w:tcPr>
            <w:tcW w:w="517" w:type="dxa"/>
          </w:tcPr>
          <w:p w14:paraId="1E0F4932" w14:textId="1D17E1C2" w:rsidR="0004492E" w:rsidRDefault="0004492E" w:rsidP="0004492E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4B77B418" w14:textId="77777777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Shiloh Blacksher (Co-Chair)</w:t>
            </w:r>
          </w:p>
        </w:tc>
        <w:tc>
          <w:tcPr>
            <w:tcW w:w="517" w:type="dxa"/>
          </w:tcPr>
          <w:p w14:paraId="4A44C7A6" w14:textId="3DAC301E" w:rsidR="0004492E" w:rsidRPr="00A23A75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4BABF75B" w14:textId="5D89DEF4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Sun Ezzell</w:t>
            </w:r>
          </w:p>
        </w:tc>
        <w:tc>
          <w:tcPr>
            <w:tcW w:w="534" w:type="dxa"/>
          </w:tcPr>
          <w:p w14:paraId="1F3D45E9" w14:textId="5FD8629E" w:rsidR="0004492E" w:rsidRPr="00A23A75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0CAFCC0C" w14:textId="36F61FB9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Sara Mestas</w:t>
            </w:r>
          </w:p>
        </w:tc>
        <w:tc>
          <w:tcPr>
            <w:tcW w:w="517" w:type="dxa"/>
          </w:tcPr>
          <w:p w14:paraId="4F339803" w14:textId="7ABE2A1A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330" w:type="dxa"/>
          </w:tcPr>
          <w:p w14:paraId="095B9903" w14:textId="6AEA3024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Vianey Arenas (Recorder)</w:t>
            </w:r>
          </w:p>
        </w:tc>
      </w:tr>
      <w:tr w:rsidR="0004492E" w14:paraId="3C1FB333" w14:textId="77777777" w:rsidTr="00C77517">
        <w:trPr>
          <w:trHeight w:val="345"/>
        </w:trPr>
        <w:tc>
          <w:tcPr>
            <w:tcW w:w="517" w:type="dxa"/>
          </w:tcPr>
          <w:p w14:paraId="051C7C71" w14:textId="1F07F200" w:rsidR="0004492E" w:rsidRDefault="0004492E" w:rsidP="0004492E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30DEBA97" w14:textId="77777777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Haneen Alghita-Agular</w:t>
            </w:r>
          </w:p>
        </w:tc>
        <w:tc>
          <w:tcPr>
            <w:tcW w:w="517" w:type="dxa"/>
          </w:tcPr>
          <w:p w14:paraId="6BA90DE4" w14:textId="72427B14" w:rsidR="0004492E" w:rsidRPr="00A23A75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4F86D844" w14:textId="1A56F574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Hong Guo</w:t>
            </w:r>
          </w:p>
        </w:tc>
        <w:tc>
          <w:tcPr>
            <w:tcW w:w="534" w:type="dxa"/>
          </w:tcPr>
          <w:p w14:paraId="03238D09" w14:textId="0B4C32A0" w:rsidR="0004492E" w:rsidRPr="00A23A75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05E64E11" w14:textId="1C7FB4C8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Gizelle Ponzillo</w:t>
            </w:r>
          </w:p>
        </w:tc>
        <w:tc>
          <w:tcPr>
            <w:tcW w:w="517" w:type="dxa"/>
          </w:tcPr>
          <w:p w14:paraId="6F4D93B4" w14:textId="2DF9CB19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0E2853B3" w14:textId="7FDDBFDC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04492E" w14:paraId="41056317" w14:textId="77777777" w:rsidTr="00C77517">
        <w:trPr>
          <w:trHeight w:val="357"/>
        </w:trPr>
        <w:tc>
          <w:tcPr>
            <w:tcW w:w="517" w:type="dxa"/>
          </w:tcPr>
          <w:p w14:paraId="272A75B5" w14:textId="18E109F1" w:rsidR="0004492E" w:rsidRDefault="0004492E" w:rsidP="0004492E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22F273DA" w14:textId="222F47BC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Daniel Berumen</w:t>
            </w:r>
          </w:p>
        </w:tc>
        <w:tc>
          <w:tcPr>
            <w:tcW w:w="517" w:type="dxa"/>
          </w:tcPr>
          <w:p w14:paraId="4A533688" w14:textId="6EB035F6" w:rsidR="0004492E" w:rsidRPr="00A23A75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456" w:type="dxa"/>
          </w:tcPr>
          <w:p w14:paraId="755FCC0E" w14:textId="3D9632D4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LaTesha Hagler</w:t>
            </w:r>
          </w:p>
        </w:tc>
        <w:tc>
          <w:tcPr>
            <w:tcW w:w="534" w:type="dxa"/>
          </w:tcPr>
          <w:p w14:paraId="77242E51" w14:textId="789A843B" w:rsidR="0004492E" w:rsidRPr="00A23A75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563" w:type="dxa"/>
          </w:tcPr>
          <w:p w14:paraId="4211D5BB" w14:textId="754A395C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Jaime Rodriguez (Guest)</w:t>
            </w:r>
          </w:p>
        </w:tc>
        <w:tc>
          <w:tcPr>
            <w:tcW w:w="517" w:type="dxa"/>
          </w:tcPr>
          <w:p w14:paraId="41414DF6" w14:textId="3301F229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0158A6D8" w14:textId="581A1C96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04492E" w14:paraId="5409C30B" w14:textId="77777777" w:rsidTr="00C77517">
        <w:trPr>
          <w:trHeight w:val="308"/>
        </w:trPr>
        <w:tc>
          <w:tcPr>
            <w:tcW w:w="517" w:type="dxa"/>
          </w:tcPr>
          <w:p w14:paraId="06B75329" w14:textId="7FA739B3" w:rsidR="0004492E" w:rsidRDefault="0004492E" w:rsidP="0004492E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41FDF6C1" w14:textId="33444A98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David Beydler</w:t>
            </w:r>
          </w:p>
        </w:tc>
        <w:tc>
          <w:tcPr>
            <w:tcW w:w="517" w:type="dxa"/>
          </w:tcPr>
          <w:p w14:paraId="46F0200E" w14:textId="7B78AED7" w:rsidR="0004492E" w:rsidRPr="00A23A75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050AA00B" w14:textId="07056ECB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Lesley Johnson</w:t>
            </w:r>
          </w:p>
        </w:tc>
        <w:tc>
          <w:tcPr>
            <w:tcW w:w="534" w:type="dxa"/>
          </w:tcPr>
          <w:p w14:paraId="03AA6924" w14:textId="053ED4D5" w:rsidR="0004492E" w:rsidRPr="00A23A75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3B9044D3" w14:textId="114019C0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Carlos Santana</w:t>
            </w:r>
          </w:p>
        </w:tc>
        <w:tc>
          <w:tcPr>
            <w:tcW w:w="517" w:type="dxa"/>
          </w:tcPr>
          <w:p w14:paraId="28AD15B7" w14:textId="4CE306BF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1326D6C3" w14:textId="7B9AE099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04492E" w14:paraId="1BB7AE4E" w14:textId="77777777" w:rsidTr="00C77517">
        <w:trPr>
          <w:trHeight w:val="308"/>
        </w:trPr>
        <w:tc>
          <w:tcPr>
            <w:tcW w:w="517" w:type="dxa"/>
          </w:tcPr>
          <w:p w14:paraId="702C4F6F" w14:textId="045FCC2F" w:rsidR="0004492E" w:rsidRDefault="0004492E" w:rsidP="0004492E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6EF03C93" w14:textId="0B3ED44C" w:rsidR="0004492E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Elizabeth Casian</w:t>
            </w:r>
          </w:p>
        </w:tc>
        <w:tc>
          <w:tcPr>
            <w:tcW w:w="517" w:type="dxa"/>
          </w:tcPr>
          <w:p w14:paraId="1150B8EF" w14:textId="77777777" w:rsidR="0004492E" w:rsidRPr="00A23A75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456" w:type="dxa"/>
          </w:tcPr>
          <w:p w14:paraId="60D36118" w14:textId="69B8B90F" w:rsidR="0004492E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Tiffany Kuo (Guest)</w:t>
            </w:r>
          </w:p>
        </w:tc>
        <w:tc>
          <w:tcPr>
            <w:tcW w:w="534" w:type="dxa"/>
          </w:tcPr>
          <w:p w14:paraId="2840BF5F" w14:textId="5677A567" w:rsidR="0004492E" w:rsidRPr="00A23A75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56FA5755" w14:textId="791652CE" w:rsidR="0004492E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Ned Weidner</w:t>
            </w:r>
          </w:p>
        </w:tc>
        <w:tc>
          <w:tcPr>
            <w:tcW w:w="517" w:type="dxa"/>
          </w:tcPr>
          <w:p w14:paraId="5CF53E14" w14:textId="77777777" w:rsidR="0004492E" w:rsidRPr="004E0EE0" w:rsidRDefault="0004492E" w:rsidP="0004492E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3330" w:type="dxa"/>
          </w:tcPr>
          <w:p w14:paraId="475B7C2D" w14:textId="1B7ECF7A" w:rsidR="0004492E" w:rsidRPr="00A23A75" w:rsidRDefault="0004492E" w:rsidP="0004492E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14:paraId="158C4C6C" w14:textId="19CEA4FB" w:rsidR="007A7397" w:rsidRDefault="007A7397" w:rsidP="007A7397">
      <w:pPr>
        <w:spacing w:after="0"/>
        <w:rPr>
          <w:rFonts w:asciiTheme="majorHAnsi" w:hAnsiTheme="majorHAnsi" w:cstheme="majorHAnsi"/>
          <w:color w:val="4472C4" w:themeColor="accent5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930"/>
        <w:gridCol w:w="5305"/>
      </w:tblGrid>
      <w:tr w:rsidR="00C87FAB" w14:paraId="7FBA520D" w14:textId="77777777" w:rsidTr="006F06AA">
        <w:tc>
          <w:tcPr>
            <w:tcW w:w="2155" w:type="dxa"/>
          </w:tcPr>
          <w:p w14:paraId="6ABFB958" w14:textId="4EAAD74B" w:rsidR="00C87FAB" w:rsidRPr="00C245AD" w:rsidRDefault="00C87FAB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 w:rsidRPr="00C245AD">
              <w:rPr>
                <w:rFonts w:asciiTheme="majorHAnsi" w:hAnsiTheme="majorHAnsi" w:cstheme="majorHAnsi"/>
                <w:color w:val="auto"/>
                <w:sz w:val="32"/>
              </w:rPr>
              <w:t>Agenda Item</w:t>
            </w:r>
          </w:p>
        </w:tc>
        <w:tc>
          <w:tcPr>
            <w:tcW w:w="6930" w:type="dxa"/>
          </w:tcPr>
          <w:p w14:paraId="58365A75" w14:textId="33352E35" w:rsidR="00C87FAB" w:rsidRPr="00C245AD" w:rsidRDefault="00C87FAB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 w:rsidRPr="00C245AD">
              <w:rPr>
                <w:rFonts w:asciiTheme="majorHAnsi" w:hAnsiTheme="majorHAnsi" w:cstheme="majorHAnsi"/>
                <w:color w:val="auto"/>
                <w:sz w:val="32"/>
              </w:rPr>
              <w:t>Discussion</w:t>
            </w:r>
          </w:p>
        </w:tc>
        <w:tc>
          <w:tcPr>
            <w:tcW w:w="5305" w:type="dxa"/>
          </w:tcPr>
          <w:p w14:paraId="38390D27" w14:textId="087EFAD1" w:rsidR="00C87FAB" w:rsidRPr="00C245AD" w:rsidRDefault="00C87FAB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 w:rsidRPr="00C245AD">
              <w:rPr>
                <w:rFonts w:asciiTheme="majorHAnsi" w:hAnsiTheme="majorHAnsi" w:cstheme="majorHAnsi"/>
                <w:color w:val="auto"/>
                <w:sz w:val="32"/>
              </w:rPr>
              <w:t>Outcome</w:t>
            </w:r>
          </w:p>
        </w:tc>
      </w:tr>
      <w:tr w:rsidR="00C87FAB" w14:paraId="566704F9" w14:textId="77777777" w:rsidTr="006F06AA">
        <w:tc>
          <w:tcPr>
            <w:tcW w:w="2155" w:type="dxa"/>
            <w:vAlign w:val="center"/>
          </w:tcPr>
          <w:p w14:paraId="26908F29" w14:textId="2F7F1540" w:rsidR="00C87FAB" w:rsidRPr="00C87FAB" w:rsidRDefault="00C87FAB" w:rsidP="00C87FAB">
            <w:pPr>
              <w:jc w:val="center"/>
              <w:rPr>
                <w:rFonts w:asciiTheme="majorHAnsi" w:hAnsiTheme="majorHAnsi" w:cstheme="majorHAnsi"/>
                <w:color w:val="auto"/>
                <w:sz w:val="28"/>
              </w:rPr>
            </w:pPr>
            <w:r w:rsidRPr="009B485F">
              <w:rPr>
                <w:rFonts w:asciiTheme="majorHAnsi" w:eastAsia="Tahoma" w:hAnsiTheme="majorHAnsi" w:cstheme="majorHAnsi"/>
                <w:b/>
                <w:sz w:val="24"/>
              </w:rPr>
              <w:t>1.</w:t>
            </w:r>
            <w:r w:rsidRPr="009B485F">
              <w:rPr>
                <w:rFonts w:asciiTheme="majorHAnsi" w:eastAsia="Arial" w:hAnsiTheme="majorHAnsi" w:cstheme="majorHAnsi"/>
                <w:b/>
                <w:sz w:val="24"/>
              </w:rPr>
              <w:t xml:space="preserve"> </w:t>
            </w:r>
            <w:r>
              <w:rPr>
                <w:rFonts w:asciiTheme="majorHAnsi" w:eastAsia="Tahoma" w:hAnsiTheme="majorHAnsi" w:cstheme="majorHAnsi"/>
                <w:b/>
                <w:sz w:val="24"/>
              </w:rPr>
              <w:t>Welcome, Announcements and Approval of Minutes</w:t>
            </w:r>
          </w:p>
        </w:tc>
        <w:tc>
          <w:tcPr>
            <w:tcW w:w="6930" w:type="dxa"/>
          </w:tcPr>
          <w:p w14:paraId="4E4E50DA" w14:textId="77777777" w:rsidR="00083C43" w:rsidRDefault="00083C43" w:rsidP="00083C4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D666442" w14:textId="01CD3B22" w:rsidR="00083C43" w:rsidRPr="00C87FAB" w:rsidRDefault="007F2479" w:rsidP="00083C43">
            <w:pPr>
              <w:rPr>
                <w:rFonts w:asciiTheme="majorHAnsi" w:hAnsiTheme="majorHAnsi" w:cstheme="majorHAnsi"/>
                <w:color w:val="auto"/>
                <w:sz w:val="28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="000A71B5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2A26EB">
              <w:rPr>
                <w:rFonts w:asciiTheme="majorHAnsi" w:hAnsiTheme="majorHAnsi" w:cstheme="majorHAnsi"/>
                <w:sz w:val="24"/>
                <w:szCs w:val="24"/>
              </w:rPr>
              <w:t>ommittee reviewed minutes and welcome</w:t>
            </w:r>
            <w:r w:rsidR="00495C42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2A26EB">
              <w:rPr>
                <w:rFonts w:asciiTheme="majorHAnsi" w:hAnsiTheme="majorHAnsi" w:cstheme="majorHAnsi"/>
                <w:sz w:val="24"/>
                <w:szCs w:val="24"/>
              </w:rPr>
              <w:t xml:space="preserve"> Carlos Santana</w:t>
            </w:r>
            <w:r w:rsidR="00495C4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6C24C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95C42">
              <w:rPr>
                <w:rFonts w:asciiTheme="majorHAnsi" w:hAnsiTheme="majorHAnsi" w:cstheme="majorHAnsi"/>
                <w:sz w:val="24"/>
                <w:szCs w:val="24"/>
              </w:rPr>
              <w:t>Sun Ezzell made an announcement relating to</w:t>
            </w:r>
            <w:r w:rsidR="00E609BA">
              <w:rPr>
                <w:rFonts w:asciiTheme="majorHAnsi" w:hAnsiTheme="majorHAnsi" w:cstheme="majorHAnsi"/>
                <w:sz w:val="24"/>
                <w:szCs w:val="24"/>
              </w:rPr>
              <w:t xml:space="preserve"> the</w:t>
            </w:r>
            <w:r w:rsidR="00495C42">
              <w:rPr>
                <w:rFonts w:asciiTheme="majorHAnsi" w:hAnsiTheme="majorHAnsi" w:cstheme="majorHAnsi"/>
                <w:sz w:val="24"/>
                <w:szCs w:val="24"/>
              </w:rPr>
              <w:t xml:space="preserve"> Inspired Teaching Conference.</w:t>
            </w:r>
          </w:p>
          <w:p w14:paraId="12D0DC28" w14:textId="5CB2FB7E" w:rsidR="00C87FAB" w:rsidRPr="00C87FAB" w:rsidRDefault="00C87FAB" w:rsidP="00C87FAB">
            <w:pPr>
              <w:rPr>
                <w:rFonts w:asciiTheme="majorHAnsi" w:hAnsiTheme="majorHAnsi" w:cstheme="majorHAnsi"/>
                <w:color w:val="auto"/>
                <w:sz w:val="28"/>
              </w:rPr>
            </w:pPr>
          </w:p>
        </w:tc>
        <w:tc>
          <w:tcPr>
            <w:tcW w:w="5305" w:type="dxa"/>
          </w:tcPr>
          <w:p w14:paraId="1C4F3318" w14:textId="5DE2B461" w:rsidR="00C87FAB" w:rsidRDefault="002A26EB" w:rsidP="00C87FAB">
            <w:p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March 23</w:t>
            </w:r>
            <w:r w:rsidR="00FB3059">
              <w:rPr>
                <w:rFonts w:ascii="Tahoma" w:hAnsi="Tahoma" w:cs="Tahoma"/>
                <w:color w:val="auto"/>
                <w:sz w:val="20"/>
              </w:rPr>
              <w:t>, 2021</w:t>
            </w:r>
            <w:r w:rsidR="00C87FAB">
              <w:rPr>
                <w:rFonts w:ascii="Tahoma" w:hAnsi="Tahoma" w:cs="Tahoma"/>
                <w:color w:val="auto"/>
                <w:sz w:val="20"/>
              </w:rPr>
              <w:t xml:space="preserve"> minutes approved by committee.</w:t>
            </w:r>
          </w:p>
          <w:p w14:paraId="41DC1AD2" w14:textId="77777777" w:rsidR="00FB3059" w:rsidRDefault="00FB3059" w:rsidP="00C87FAB">
            <w:pPr>
              <w:rPr>
                <w:rFonts w:ascii="Tahoma" w:hAnsi="Tahoma" w:cs="Tahoma"/>
                <w:color w:val="auto"/>
                <w:sz w:val="20"/>
              </w:rPr>
            </w:pPr>
          </w:p>
          <w:p w14:paraId="42824028" w14:textId="63AEF124" w:rsidR="00C87FAB" w:rsidRDefault="00C87FAB" w:rsidP="000D3F4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 xml:space="preserve">Click to view </w:t>
            </w:r>
            <w:hyperlink r:id="rId8" w:history="1">
              <w:r w:rsidRPr="00D7335E">
                <w:rPr>
                  <w:rStyle w:val="Hyperlink"/>
                  <w:rFonts w:ascii="Tahoma" w:hAnsi="Tahoma" w:cs="Tahoma"/>
                  <w:sz w:val="20"/>
                </w:rPr>
                <w:t xml:space="preserve">R&amp;P </w:t>
              </w:r>
              <w:r w:rsidR="002A26EB" w:rsidRPr="00D7335E">
                <w:rPr>
                  <w:rStyle w:val="Hyperlink"/>
                  <w:rFonts w:ascii="Tahoma" w:hAnsi="Tahoma" w:cs="Tahoma"/>
                  <w:sz w:val="20"/>
                </w:rPr>
                <w:t>Minutes 3.23.21</w:t>
              </w:r>
            </w:hyperlink>
          </w:p>
          <w:p w14:paraId="5F1A5F96" w14:textId="77777777" w:rsidR="006C24C9" w:rsidRDefault="006C24C9" w:rsidP="000D3F44">
            <w:pPr>
              <w:rPr>
                <w:rFonts w:ascii="Tahoma" w:hAnsi="Tahoma" w:cs="Tahoma"/>
                <w:sz w:val="20"/>
              </w:rPr>
            </w:pPr>
          </w:p>
          <w:p w14:paraId="719AB036" w14:textId="022F9A5A" w:rsidR="006C24C9" w:rsidRPr="00C87FAB" w:rsidRDefault="007C454E" w:rsidP="000D3F44">
            <w:pPr>
              <w:rPr>
                <w:rFonts w:ascii="Tahoma" w:hAnsi="Tahoma" w:cs="Tahoma"/>
                <w:color w:val="auto"/>
                <w:sz w:val="20"/>
              </w:rPr>
            </w:pPr>
            <w:hyperlink r:id="rId9" w:history="1">
              <w:r w:rsidR="006C24C9" w:rsidRPr="006C24C9">
                <w:rPr>
                  <w:rStyle w:val="Hyperlink"/>
                  <w:rFonts w:ascii="Tahoma" w:hAnsi="Tahoma" w:cs="Tahoma"/>
                  <w:sz w:val="20"/>
                </w:rPr>
                <w:t>Inspired Teaching Conference: Designing for Care 11am – 2pm, Friday, April 23 Registration</w:t>
              </w:r>
            </w:hyperlink>
          </w:p>
        </w:tc>
      </w:tr>
      <w:tr w:rsidR="00C87FAB" w14:paraId="0E450DB6" w14:textId="77777777" w:rsidTr="00F012E5">
        <w:trPr>
          <w:trHeight w:val="3482"/>
        </w:trPr>
        <w:tc>
          <w:tcPr>
            <w:tcW w:w="2155" w:type="dxa"/>
            <w:vAlign w:val="center"/>
          </w:tcPr>
          <w:p w14:paraId="3E282BB1" w14:textId="7163DC48" w:rsidR="00C87FAB" w:rsidRPr="009B485F" w:rsidRDefault="00C87FAB" w:rsidP="00D62A9E">
            <w:pPr>
              <w:jc w:val="center"/>
              <w:rPr>
                <w:rFonts w:asciiTheme="majorHAnsi" w:eastAsia="Tahoma" w:hAnsiTheme="majorHAnsi" w:cstheme="majorHAnsi"/>
                <w:b/>
                <w:sz w:val="24"/>
              </w:rPr>
            </w:pPr>
            <w:r w:rsidRPr="009B485F">
              <w:rPr>
                <w:rFonts w:asciiTheme="majorHAnsi" w:eastAsia="Tahoma" w:hAnsiTheme="majorHAnsi" w:cstheme="majorHAnsi"/>
                <w:b/>
                <w:sz w:val="24"/>
              </w:rPr>
              <w:t>2.</w:t>
            </w:r>
            <w:r w:rsidRPr="009B485F">
              <w:rPr>
                <w:rFonts w:asciiTheme="majorHAnsi" w:eastAsia="Arial" w:hAnsiTheme="majorHAnsi" w:cstheme="majorHAnsi"/>
                <w:b/>
                <w:sz w:val="24"/>
              </w:rPr>
              <w:t xml:space="preserve"> </w:t>
            </w:r>
            <w:r w:rsidR="00D62A9E">
              <w:rPr>
                <w:rFonts w:asciiTheme="majorHAnsi" w:eastAsia="Arial" w:hAnsiTheme="majorHAnsi" w:cstheme="majorHAnsi"/>
                <w:b/>
                <w:sz w:val="24"/>
              </w:rPr>
              <w:t xml:space="preserve">Discussion on </w:t>
            </w:r>
            <w:hyperlink r:id="rId10" w:history="1">
              <w:r w:rsidR="00D62A9E" w:rsidRPr="00D62A9E">
                <w:rPr>
                  <w:rStyle w:val="Hyperlink"/>
                  <w:rFonts w:asciiTheme="majorHAnsi" w:eastAsia="Arial" w:hAnsiTheme="majorHAnsi" w:cstheme="majorHAnsi"/>
                  <w:b/>
                  <w:sz w:val="24"/>
                </w:rPr>
                <w:t>Underserved Students Article</w:t>
              </w:r>
            </w:hyperlink>
          </w:p>
        </w:tc>
        <w:tc>
          <w:tcPr>
            <w:tcW w:w="6930" w:type="dxa"/>
          </w:tcPr>
          <w:p w14:paraId="26210908" w14:textId="61F69952" w:rsidR="00C87FAB" w:rsidRDefault="007B1382" w:rsidP="000975B1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The committee </w:t>
            </w:r>
            <w:r w:rsidR="000975B1">
              <w:rPr>
                <w:rFonts w:asciiTheme="majorHAnsi" w:hAnsiTheme="majorHAnsi" w:cstheme="majorHAnsi"/>
                <w:sz w:val="24"/>
                <w:szCs w:val="24"/>
              </w:rPr>
              <w:t>received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the</w:t>
            </w:r>
            <w:r w:rsidR="00D62A9E">
              <w:rPr>
                <w:rFonts w:asciiTheme="majorHAnsi" w:hAnsiTheme="majorHAnsi" w:cstheme="majorHAnsi"/>
                <w:sz w:val="24"/>
                <w:szCs w:val="24"/>
              </w:rPr>
              <w:t xml:space="preserve"> article prior to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the</w:t>
            </w:r>
            <w:r w:rsidR="00D62A9E">
              <w:rPr>
                <w:rFonts w:asciiTheme="majorHAnsi" w:hAnsiTheme="majorHAnsi" w:cstheme="majorHAnsi"/>
                <w:sz w:val="24"/>
                <w:szCs w:val="24"/>
              </w:rPr>
              <w:t xml:space="preserve"> April 13 meeting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975B1">
              <w:rPr>
                <w:rFonts w:asciiTheme="majorHAnsi" w:hAnsiTheme="majorHAnsi" w:cstheme="majorHAnsi"/>
                <w:sz w:val="24"/>
                <w:szCs w:val="24"/>
              </w:rPr>
              <w:t xml:space="preserve">in order to review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it ahead of time</w:t>
            </w:r>
            <w:r w:rsidR="00D62A9E">
              <w:rPr>
                <w:rFonts w:asciiTheme="majorHAnsi" w:hAnsiTheme="majorHAnsi" w:cstheme="majorHAnsi"/>
                <w:sz w:val="24"/>
                <w:szCs w:val="24"/>
              </w:rPr>
              <w:t>. David Beydler led the discussion on the Underserved Students article.</w:t>
            </w:r>
            <w:r w:rsidR="00673F7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71447">
              <w:rPr>
                <w:rFonts w:asciiTheme="majorHAnsi" w:hAnsiTheme="majorHAnsi" w:cstheme="majorHAnsi"/>
                <w:sz w:val="24"/>
                <w:szCs w:val="24"/>
              </w:rPr>
              <w:t>David</w:t>
            </w:r>
            <w:r w:rsidR="00631DE6">
              <w:rPr>
                <w:rFonts w:asciiTheme="majorHAnsi" w:hAnsiTheme="majorHAnsi" w:cstheme="majorHAnsi"/>
                <w:sz w:val="24"/>
                <w:szCs w:val="24"/>
              </w:rPr>
              <w:t xml:space="preserve"> provided context for</w:t>
            </w:r>
            <w:r w:rsidR="00161C47">
              <w:rPr>
                <w:rFonts w:asciiTheme="majorHAnsi" w:hAnsiTheme="majorHAnsi" w:cstheme="majorHAnsi"/>
                <w:sz w:val="24"/>
                <w:szCs w:val="24"/>
              </w:rPr>
              <w:t xml:space="preserve"> the article, and</w:t>
            </w:r>
            <w:r w:rsidR="00A7144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61C47">
              <w:rPr>
                <w:rFonts w:asciiTheme="majorHAnsi" w:hAnsiTheme="majorHAnsi" w:cstheme="majorHAnsi"/>
                <w:sz w:val="24"/>
                <w:szCs w:val="24"/>
              </w:rPr>
              <w:t xml:space="preserve">explained that the authors were </w:t>
            </w:r>
            <w:r w:rsidR="00BB589A">
              <w:rPr>
                <w:rFonts w:asciiTheme="majorHAnsi" w:hAnsiTheme="majorHAnsi" w:cstheme="majorHAnsi"/>
                <w:sz w:val="24"/>
                <w:szCs w:val="24"/>
              </w:rPr>
              <w:t>viewing other research</w:t>
            </w:r>
            <w:r w:rsidR="00673F73">
              <w:rPr>
                <w:rFonts w:asciiTheme="majorHAnsi" w:hAnsiTheme="majorHAnsi" w:cstheme="majorHAnsi"/>
                <w:sz w:val="24"/>
                <w:szCs w:val="24"/>
              </w:rPr>
              <w:t xml:space="preserve"> and ana</w:t>
            </w:r>
            <w:r w:rsidR="00BB589A">
              <w:rPr>
                <w:rFonts w:asciiTheme="majorHAnsi" w:hAnsiTheme="majorHAnsi" w:cstheme="majorHAnsi"/>
                <w:sz w:val="24"/>
                <w:szCs w:val="24"/>
              </w:rPr>
              <w:t>lyzing</w:t>
            </w:r>
            <w:r w:rsidR="00673F7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B589A">
              <w:rPr>
                <w:rFonts w:asciiTheme="majorHAnsi" w:hAnsiTheme="majorHAnsi" w:cstheme="majorHAnsi"/>
                <w:sz w:val="24"/>
                <w:szCs w:val="24"/>
              </w:rPr>
              <w:t>issues relating to equity. The article exam</w:t>
            </w:r>
            <w:r w:rsidR="00C956EB">
              <w:rPr>
                <w:rFonts w:asciiTheme="majorHAnsi" w:hAnsiTheme="majorHAnsi" w:cstheme="majorHAnsi"/>
                <w:sz w:val="24"/>
                <w:szCs w:val="24"/>
              </w:rPr>
              <w:t>ine</w:t>
            </w:r>
            <w:r w:rsidR="00BB589A">
              <w:rPr>
                <w:rFonts w:asciiTheme="majorHAnsi" w:hAnsiTheme="majorHAnsi" w:cstheme="majorHAnsi"/>
                <w:sz w:val="24"/>
                <w:szCs w:val="24"/>
              </w:rPr>
              <w:t xml:space="preserve">s </w:t>
            </w:r>
            <w:r w:rsidR="00673F73">
              <w:rPr>
                <w:rFonts w:asciiTheme="majorHAnsi" w:hAnsiTheme="majorHAnsi" w:cstheme="majorHAnsi"/>
                <w:sz w:val="24"/>
                <w:szCs w:val="24"/>
              </w:rPr>
              <w:t xml:space="preserve">various reforms </w:t>
            </w:r>
            <w:r w:rsidR="00C956EB">
              <w:rPr>
                <w:rFonts w:asciiTheme="majorHAnsi" w:hAnsiTheme="majorHAnsi" w:cstheme="majorHAnsi"/>
                <w:sz w:val="24"/>
                <w:szCs w:val="24"/>
              </w:rPr>
              <w:t>that have been implemented</w:t>
            </w:r>
            <w:r w:rsidR="00BB589A">
              <w:rPr>
                <w:rFonts w:asciiTheme="majorHAnsi" w:hAnsiTheme="majorHAnsi" w:cstheme="majorHAnsi"/>
                <w:sz w:val="24"/>
                <w:szCs w:val="24"/>
              </w:rPr>
              <w:t xml:space="preserve"> or have been piloted. One of these reforms</w:t>
            </w:r>
            <w:r w:rsidR="00C956EB">
              <w:rPr>
                <w:rFonts w:asciiTheme="majorHAnsi" w:hAnsiTheme="majorHAnsi" w:cstheme="majorHAnsi"/>
                <w:sz w:val="24"/>
                <w:szCs w:val="24"/>
              </w:rPr>
              <w:t xml:space="preserve"> relates to </w:t>
            </w:r>
            <w:r w:rsidR="00BB589A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C956EB">
              <w:rPr>
                <w:rFonts w:asciiTheme="majorHAnsi" w:hAnsiTheme="majorHAnsi" w:cstheme="majorHAnsi"/>
                <w:sz w:val="24"/>
                <w:szCs w:val="24"/>
              </w:rPr>
              <w:t>ssessment</w:t>
            </w:r>
            <w:r w:rsidR="00BB589A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82180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A51CA">
              <w:rPr>
                <w:rFonts w:asciiTheme="majorHAnsi" w:hAnsiTheme="majorHAnsi" w:cstheme="majorHAnsi"/>
                <w:sz w:val="24"/>
                <w:szCs w:val="24"/>
              </w:rPr>
              <w:t xml:space="preserve">Overall, reforms have helped students become successful but none of the reforms </w:t>
            </w:r>
            <w:r w:rsidR="00C956EB">
              <w:rPr>
                <w:rFonts w:asciiTheme="majorHAnsi" w:hAnsiTheme="majorHAnsi" w:cstheme="majorHAnsi"/>
                <w:sz w:val="24"/>
                <w:szCs w:val="24"/>
              </w:rPr>
              <w:t xml:space="preserve">fully </w:t>
            </w:r>
            <w:r w:rsidR="006A51CA">
              <w:rPr>
                <w:rFonts w:asciiTheme="majorHAnsi" w:hAnsiTheme="majorHAnsi" w:cstheme="majorHAnsi"/>
                <w:sz w:val="24"/>
                <w:szCs w:val="24"/>
              </w:rPr>
              <w:t>addressed equity gaps. T</w:t>
            </w:r>
            <w:r w:rsidR="009555A9">
              <w:rPr>
                <w:rFonts w:asciiTheme="majorHAnsi" w:hAnsiTheme="majorHAnsi" w:cstheme="majorHAnsi"/>
                <w:sz w:val="24"/>
                <w:szCs w:val="24"/>
              </w:rPr>
              <w:t>he article li</w:t>
            </w:r>
            <w:r w:rsidR="00D55221">
              <w:rPr>
                <w:rFonts w:asciiTheme="majorHAnsi" w:hAnsiTheme="majorHAnsi" w:cstheme="majorHAnsi"/>
                <w:sz w:val="24"/>
                <w:szCs w:val="24"/>
              </w:rPr>
              <w:t>sts three elements</w:t>
            </w:r>
            <w:r w:rsidR="006A51CA">
              <w:rPr>
                <w:rFonts w:asciiTheme="majorHAnsi" w:hAnsiTheme="majorHAnsi" w:cstheme="majorHAnsi"/>
                <w:sz w:val="24"/>
                <w:szCs w:val="24"/>
              </w:rPr>
              <w:t xml:space="preserve"> that </w:t>
            </w:r>
            <w:r w:rsidR="009555A9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AA7005">
              <w:rPr>
                <w:rFonts w:asciiTheme="majorHAnsi" w:hAnsiTheme="majorHAnsi" w:cstheme="majorHAnsi"/>
                <w:sz w:val="24"/>
                <w:szCs w:val="24"/>
              </w:rPr>
              <w:t>eed to be</w:t>
            </w:r>
            <w:r w:rsidR="009555A9">
              <w:rPr>
                <w:rFonts w:asciiTheme="majorHAnsi" w:hAnsiTheme="majorHAnsi" w:cstheme="majorHAnsi"/>
                <w:sz w:val="24"/>
                <w:szCs w:val="24"/>
              </w:rPr>
              <w:t xml:space="preserve"> addr</w:t>
            </w:r>
            <w:r w:rsidR="00D55221">
              <w:rPr>
                <w:rFonts w:asciiTheme="majorHAnsi" w:hAnsiTheme="majorHAnsi" w:cstheme="majorHAnsi"/>
                <w:sz w:val="24"/>
                <w:szCs w:val="24"/>
              </w:rPr>
              <w:t>essed to overcome equity gaps: s</w:t>
            </w:r>
            <w:r w:rsidR="009555A9">
              <w:rPr>
                <w:rFonts w:asciiTheme="majorHAnsi" w:hAnsiTheme="majorHAnsi" w:cstheme="majorHAnsi"/>
                <w:sz w:val="24"/>
                <w:szCs w:val="24"/>
              </w:rPr>
              <w:t>tere</w:t>
            </w:r>
            <w:r w:rsidR="00D55221">
              <w:rPr>
                <w:rFonts w:asciiTheme="majorHAnsi" w:hAnsiTheme="majorHAnsi" w:cstheme="majorHAnsi"/>
                <w:sz w:val="24"/>
                <w:szCs w:val="24"/>
              </w:rPr>
              <w:t>otype threat and math anxiety, i</w:t>
            </w:r>
            <w:r w:rsidR="009555A9">
              <w:rPr>
                <w:rFonts w:asciiTheme="majorHAnsi" w:hAnsiTheme="majorHAnsi" w:cstheme="majorHAnsi"/>
                <w:sz w:val="24"/>
                <w:szCs w:val="24"/>
              </w:rPr>
              <w:t>nstructor bias</w:t>
            </w:r>
            <w:r w:rsidR="00D55221">
              <w:rPr>
                <w:rFonts w:asciiTheme="majorHAnsi" w:hAnsiTheme="majorHAnsi" w:cstheme="majorHAnsi"/>
                <w:sz w:val="24"/>
                <w:szCs w:val="24"/>
              </w:rPr>
              <w:t>, and t</w:t>
            </w:r>
            <w:r w:rsidR="009555A9">
              <w:rPr>
                <w:rFonts w:asciiTheme="majorHAnsi" w:hAnsiTheme="majorHAnsi" w:cstheme="majorHAnsi"/>
                <w:sz w:val="24"/>
                <w:szCs w:val="24"/>
              </w:rPr>
              <w:t>racking.</w:t>
            </w:r>
          </w:p>
        </w:tc>
        <w:tc>
          <w:tcPr>
            <w:tcW w:w="5305" w:type="dxa"/>
          </w:tcPr>
          <w:p w14:paraId="0DBD3110" w14:textId="770D189B" w:rsidR="005A1F05" w:rsidRDefault="004C0825" w:rsidP="005A1F05">
            <w:pPr>
              <w:spacing w:after="160" w:line="259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Committee discussed elements of</w:t>
            </w:r>
            <w:r w:rsidR="00AC4C58">
              <w:rPr>
                <w:rFonts w:ascii="Tahoma" w:hAnsi="Tahoma" w:cs="Tahoma"/>
                <w:sz w:val="20"/>
              </w:rPr>
              <w:t xml:space="preserve"> </w:t>
            </w:r>
            <w:r w:rsidR="00495C42">
              <w:rPr>
                <w:rFonts w:ascii="Tahoma" w:hAnsi="Tahoma" w:cs="Tahoma"/>
                <w:sz w:val="20"/>
              </w:rPr>
              <w:t>stereotype t</w:t>
            </w:r>
            <w:r w:rsidR="00724C9F">
              <w:rPr>
                <w:rFonts w:ascii="Tahoma" w:hAnsi="Tahoma" w:cs="Tahoma"/>
                <w:sz w:val="20"/>
              </w:rPr>
              <w:t>hreat</w:t>
            </w:r>
            <w:r w:rsidR="00495C42">
              <w:rPr>
                <w:rFonts w:ascii="Tahoma" w:hAnsi="Tahoma" w:cs="Tahoma"/>
                <w:sz w:val="20"/>
              </w:rPr>
              <w:t xml:space="preserve"> and math a</w:t>
            </w:r>
            <w:r w:rsidR="00B637FB">
              <w:rPr>
                <w:rFonts w:ascii="Tahoma" w:hAnsi="Tahoma" w:cs="Tahoma"/>
                <w:sz w:val="20"/>
              </w:rPr>
              <w:t>nxiety</w:t>
            </w:r>
            <w:r>
              <w:rPr>
                <w:rFonts w:ascii="Tahoma" w:hAnsi="Tahoma" w:cs="Tahoma"/>
                <w:sz w:val="20"/>
              </w:rPr>
              <w:t xml:space="preserve"> and highlighted the importance of the followi</w:t>
            </w:r>
            <w:r w:rsidR="00495C42">
              <w:rPr>
                <w:rFonts w:ascii="Tahoma" w:hAnsi="Tahoma" w:cs="Tahoma"/>
                <w:sz w:val="20"/>
              </w:rPr>
              <w:t>ng</w:t>
            </w:r>
            <w:r w:rsidR="00C87FAB" w:rsidRPr="00C87FAB">
              <w:rPr>
                <w:rFonts w:ascii="Tahoma" w:hAnsi="Tahoma" w:cs="Tahoma"/>
                <w:sz w:val="20"/>
              </w:rPr>
              <w:t>:</w:t>
            </w:r>
          </w:p>
          <w:p w14:paraId="5D5B8607" w14:textId="391FA301" w:rsidR="00C87FAB" w:rsidRPr="005A1F05" w:rsidRDefault="00B637FB" w:rsidP="005A1F0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</w:rPr>
            </w:pPr>
            <w:r w:rsidRPr="005A1F05">
              <w:rPr>
                <w:rFonts w:ascii="Tahoma" w:hAnsi="Tahoma" w:cs="Tahoma"/>
                <w:sz w:val="20"/>
              </w:rPr>
              <w:t>Course materials and pedagogy that increase students sense of belonging at the college and in the course</w:t>
            </w:r>
          </w:p>
          <w:p w14:paraId="33C6B5D8" w14:textId="482D8D40" w:rsidR="00EB0DBE" w:rsidRDefault="00B637FB" w:rsidP="00B637FB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Positive feedback from faculty</w:t>
            </w:r>
          </w:p>
          <w:p w14:paraId="5C6448AD" w14:textId="378426CA" w:rsidR="00A653A0" w:rsidRPr="00F33F7D" w:rsidRDefault="00455FDE" w:rsidP="00F33F7D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Opportunities for students to help each other</w:t>
            </w:r>
          </w:p>
        </w:tc>
      </w:tr>
      <w:tr w:rsidR="00C87FAB" w14:paraId="48694E57" w14:textId="77777777" w:rsidTr="006F06AA">
        <w:tc>
          <w:tcPr>
            <w:tcW w:w="2155" w:type="dxa"/>
            <w:vAlign w:val="center"/>
          </w:tcPr>
          <w:p w14:paraId="30CA10ED" w14:textId="256B7DBB" w:rsidR="00C87FAB" w:rsidRPr="009B485F" w:rsidRDefault="00C87FAB" w:rsidP="00F012E5">
            <w:pPr>
              <w:jc w:val="center"/>
              <w:rPr>
                <w:rFonts w:asciiTheme="majorHAnsi" w:eastAsia="Tahoma" w:hAnsiTheme="majorHAnsi" w:cstheme="majorHAnsi"/>
                <w:b/>
                <w:sz w:val="24"/>
              </w:rPr>
            </w:pPr>
            <w:r w:rsidRPr="001D189F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3.</w:t>
            </w:r>
            <w:r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 xml:space="preserve"> Cont’d </w:t>
            </w:r>
            <w:r w:rsidR="00F012E5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discussion on Underserved Article</w:t>
            </w:r>
          </w:p>
        </w:tc>
        <w:tc>
          <w:tcPr>
            <w:tcW w:w="6930" w:type="dxa"/>
          </w:tcPr>
          <w:p w14:paraId="52F825B2" w14:textId="0A8B94EB" w:rsidR="00C87FAB" w:rsidRPr="00876D23" w:rsidRDefault="00C87FAB" w:rsidP="007A08B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305" w:type="dxa"/>
          </w:tcPr>
          <w:p w14:paraId="43D1D7AD" w14:textId="384AE9CE" w:rsidR="00C87FAB" w:rsidRDefault="006440BF" w:rsidP="00C87FA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Committee members shared the following ideas relating to instructor b</w:t>
            </w:r>
            <w:r w:rsidR="00F33F7D">
              <w:rPr>
                <w:rFonts w:ascii="Tahoma" w:hAnsi="Tahoma" w:cs="Tahoma"/>
                <w:sz w:val="20"/>
              </w:rPr>
              <w:t>ias</w:t>
            </w:r>
            <w:r>
              <w:rPr>
                <w:rFonts w:ascii="Tahoma" w:hAnsi="Tahoma" w:cs="Tahoma"/>
                <w:sz w:val="20"/>
              </w:rPr>
              <w:t>:</w:t>
            </w:r>
          </w:p>
          <w:p w14:paraId="2BA7B7A3" w14:textId="60BAFA74" w:rsidR="005A1F05" w:rsidRDefault="00A268C3" w:rsidP="00D5163F">
            <w:pPr>
              <w:pStyle w:val="ListParagraph"/>
              <w:numPr>
                <w:ilvl w:val="0"/>
                <w:numId w:val="3"/>
              </w:numPr>
              <w:rPr>
                <w:rFonts w:ascii="Tahoma" w:eastAsia="Tahoma" w:hAnsi="Tahoma" w:cs="Tahoma"/>
                <w:sz w:val="20"/>
                <w:szCs w:val="24"/>
              </w:rPr>
            </w:pPr>
            <w:r w:rsidRPr="005A1F05">
              <w:rPr>
                <w:rFonts w:ascii="Tahoma" w:eastAsia="Tahoma" w:hAnsi="Tahoma" w:cs="Tahoma"/>
                <w:sz w:val="20"/>
                <w:szCs w:val="24"/>
              </w:rPr>
              <w:t>Lower expectations o</w:t>
            </w:r>
            <w:r w:rsidR="006440BF">
              <w:rPr>
                <w:rFonts w:ascii="Tahoma" w:eastAsia="Tahoma" w:hAnsi="Tahoma" w:cs="Tahoma"/>
                <w:sz w:val="20"/>
                <w:szCs w:val="24"/>
              </w:rPr>
              <w:t xml:space="preserve">f </w:t>
            </w:r>
            <w:r w:rsidRPr="005A1F05">
              <w:rPr>
                <w:rFonts w:ascii="Tahoma" w:eastAsia="Tahoma" w:hAnsi="Tahoma" w:cs="Tahoma"/>
                <w:sz w:val="20"/>
                <w:szCs w:val="24"/>
              </w:rPr>
              <w:t>students’ ability</w:t>
            </w:r>
            <w:r w:rsidR="005A1F05" w:rsidRPr="005A1F05">
              <w:rPr>
                <w:rFonts w:ascii="Tahoma" w:eastAsia="Tahoma" w:hAnsi="Tahoma" w:cs="Tahoma"/>
                <w:sz w:val="20"/>
                <w:szCs w:val="24"/>
              </w:rPr>
              <w:t xml:space="preserve"> when they are underserved students</w:t>
            </w:r>
          </w:p>
          <w:p w14:paraId="14CAF017" w14:textId="19302C28" w:rsidR="005A1F05" w:rsidRPr="005A1F05" w:rsidRDefault="00817FBE" w:rsidP="005A1F05">
            <w:pPr>
              <w:pStyle w:val="ListParagraph"/>
              <w:numPr>
                <w:ilvl w:val="0"/>
                <w:numId w:val="3"/>
              </w:numPr>
              <w:rPr>
                <w:rFonts w:ascii="Tahoma" w:eastAsia="Tahoma" w:hAnsi="Tahoma" w:cs="Tahoma"/>
                <w:sz w:val="20"/>
                <w:szCs w:val="24"/>
              </w:rPr>
            </w:pPr>
            <w:r>
              <w:rPr>
                <w:rFonts w:ascii="Tahoma" w:eastAsia="Tahoma" w:hAnsi="Tahoma" w:cs="Tahoma"/>
                <w:sz w:val="20"/>
                <w:szCs w:val="24"/>
              </w:rPr>
              <w:t>Create a m</w:t>
            </w:r>
            <w:r w:rsidR="00A268C3" w:rsidRPr="005A1F05">
              <w:rPr>
                <w:rFonts w:ascii="Tahoma" w:eastAsia="Tahoma" w:hAnsi="Tahoma" w:cs="Tahoma"/>
                <w:sz w:val="20"/>
                <w:szCs w:val="24"/>
              </w:rPr>
              <w:t>ath culture/</w:t>
            </w:r>
            <w:r>
              <w:rPr>
                <w:rFonts w:ascii="Tahoma" w:eastAsia="Tahoma" w:hAnsi="Tahoma" w:cs="Tahoma"/>
                <w:sz w:val="20"/>
                <w:szCs w:val="24"/>
              </w:rPr>
              <w:t xml:space="preserve">have </w:t>
            </w:r>
            <w:r w:rsidR="00A268C3" w:rsidRPr="005A1F05">
              <w:rPr>
                <w:rFonts w:ascii="Tahoma" w:eastAsia="Tahoma" w:hAnsi="Tahoma" w:cs="Tahoma"/>
                <w:sz w:val="20"/>
                <w:szCs w:val="24"/>
              </w:rPr>
              <w:t>high expectations</w:t>
            </w:r>
            <w:r w:rsidR="00A02E2C">
              <w:rPr>
                <w:rFonts w:ascii="Tahoma" w:eastAsia="Tahoma" w:hAnsi="Tahoma" w:cs="Tahoma"/>
                <w:sz w:val="20"/>
                <w:szCs w:val="24"/>
              </w:rPr>
              <w:t xml:space="preserve"> of</w:t>
            </w:r>
            <w:r w:rsidR="00F012E5" w:rsidRPr="005A1F05">
              <w:rPr>
                <w:rFonts w:ascii="Tahoma" w:eastAsia="Tahoma" w:hAnsi="Tahoma" w:cs="Tahoma"/>
                <w:sz w:val="20"/>
                <w:szCs w:val="24"/>
              </w:rPr>
              <w:t xml:space="preserve"> students</w:t>
            </w:r>
          </w:p>
        </w:tc>
      </w:tr>
      <w:tr w:rsidR="00C87FAB" w14:paraId="3D6D186A" w14:textId="77777777" w:rsidTr="006F06AA">
        <w:tc>
          <w:tcPr>
            <w:tcW w:w="2155" w:type="dxa"/>
            <w:vAlign w:val="center"/>
          </w:tcPr>
          <w:p w14:paraId="5EE338D3" w14:textId="21D8B565" w:rsidR="00C87FAB" w:rsidRPr="001D189F" w:rsidRDefault="00C77517" w:rsidP="00DC0C06">
            <w:pPr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lastRenderedPageBreak/>
              <w:t xml:space="preserve">4. </w:t>
            </w:r>
            <w:r w:rsidR="00DC0C06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Cont’d discussion on Underserved Article</w:t>
            </w:r>
          </w:p>
        </w:tc>
        <w:tc>
          <w:tcPr>
            <w:tcW w:w="6930" w:type="dxa"/>
          </w:tcPr>
          <w:p w14:paraId="4E07D2D0" w14:textId="2D920302" w:rsidR="00C87FAB" w:rsidRPr="00B74534" w:rsidRDefault="00C87FAB" w:rsidP="00B74534">
            <w:pPr>
              <w:spacing w:after="51" w:line="259" w:lineRule="auto"/>
              <w:rPr>
                <w:rFonts w:asciiTheme="majorHAnsi" w:hAnsiTheme="majorHAnsi" w:cstheme="majorHAnsi"/>
                <w:color w:val="0563C1" w:themeColor="hyperlink"/>
                <w:sz w:val="24"/>
                <w:u w:val="single"/>
              </w:rPr>
            </w:pPr>
          </w:p>
        </w:tc>
        <w:tc>
          <w:tcPr>
            <w:tcW w:w="5305" w:type="dxa"/>
          </w:tcPr>
          <w:p w14:paraId="0C0E4B27" w14:textId="77D6F668" w:rsidR="008E1D52" w:rsidRPr="00ED745A" w:rsidRDefault="00A02E2C" w:rsidP="008E1D5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Committee discussed </w:t>
            </w:r>
            <w:r w:rsidR="00EF6FE6">
              <w:rPr>
                <w:rFonts w:ascii="Tahoma" w:hAnsi="Tahoma" w:cs="Tahoma"/>
                <w:sz w:val="20"/>
              </w:rPr>
              <w:t>the following</w:t>
            </w:r>
            <w:r>
              <w:rPr>
                <w:rFonts w:ascii="Tahoma" w:hAnsi="Tahoma" w:cs="Tahoma"/>
                <w:sz w:val="20"/>
              </w:rPr>
              <w:t xml:space="preserve"> relating to tracking:</w:t>
            </w:r>
          </w:p>
          <w:p w14:paraId="4EF31FDD" w14:textId="0BFC03AF" w:rsidR="001A413A" w:rsidRPr="001A413A" w:rsidRDefault="001A413A" w:rsidP="001A413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Underserved students take developmental classes based on their perceived </w:t>
            </w:r>
            <w:r w:rsidR="00986F52">
              <w:rPr>
                <w:rFonts w:ascii="Tahoma" w:hAnsi="Tahoma" w:cs="Tahoma"/>
                <w:sz w:val="20"/>
              </w:rPr>
              <w:t>abilities. This can cause them</w:t>
            </w:r>
            <w:r>
              <w:rPr>
                <w:rFonts w:ascii="Tahoma" w:hAnsi="Tahoma" w:cs="Tahoma"/>
                <w:sz w:val="20"/>
              </w:rPr>
              <w:t xml:space="preserve"> to be on a less successful track </w:t>
            </w:r>
            <w:r w:rsidR="00986F52">
              <w:rPr>
                <w:rFonts w:ascii="Tahoma" w:hAnsi="Tahoma" w:cs="Tahoma"/>
                <w:sz w:val="20"/>
              </w:rPr>
              <w:t>towards completion</w:t>
            </w:r>
          </w:p>
          <w:p w14:paraId="1D2F5F70" w14:textId="2B956E4A" w:rsidR="001A413A" w:rsidRPr="001A413A" w:rsidRDefault="00986F52" w:rsidP="001A413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sz w:val="20"/>
              </w:rPr>
              <w:t>The potential negative impact of no longer offering pre-transfer level m</w:t>
            </w:r>
            <w:r w:rsidR="001A413A">
              <w:rPr>
                <w:rFonts w:ascii="Tahoma" w:hAnsi="Tahoma" w:cs="Tahoma"/>
                <w:sz w:val="20"/>
              </w:rPr>
              <w:t>ath courses</w:t>
            </w:r>
          </w:p>
        </w:tc>
      </w:tr>
      <w:tr w:rsidR="001A413A" w14:paraId="1BA44C11" w14:textId="77777777" w:rsidTr="006F06AA">
        <w:tc>
          <w:tcPr>
            <w:tcW w:w="2155" w:type="dxa"/>
            <w:vAlign w:val="center"/>
          </w:tcPr>
          <w:p w14:paraId="07BF8A93" w14:textId="3401C9A0" w:rsidR="001A413A" w:rsidRDefault="00DC0C06" w:rsidP="00DA15D1">
            <w:pPr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5. EAB Navigate Presentation</w:t>
            </w:r>
          </w:p>
        </w:tc>
        <w:tc>
          <w:tcPr>
            <w:tcW w:w="6930" w:type="dxa"/>
          </w:tcPr>
          <w:p w14:paraId="5A33DBD4" w14:textId="7D6ABBE7" w:rsidR="001A413A" w:rsidRPr="00CB1F9F" w:rsidRDefault="003D4A3A" w:rsidP="00AF1973">
            <w:pPr>
              <w:spacing w:after="51"/>
              <w:rPr>
                <w:rFonts w:asciiTheme="majorHAnsi" w:hAnsiTheme="majorHAnsi" w:cstheme="majorHAnsi"/>
                <w:color w:val="auto"/>
                <w:sz w:val="24"/>
              </w:rPr>
            </w:pPr>
            <w:r w:rsidRPr="003D4A3A">
              <w:rPr>
                <w:rFonts w:asciiTheme="majorHAnsi" w:hAnsiTheme="majorHAnsi" w:cstheme="majorHAnsi"/>
                <w:color w:val="auto"/>
                <w:sz w:val="24"/>
              </w:rPr>
              <w:t>Dr. Francisco Dorame</w:t>
            </w:r>
            <w:r w:rsidR="007335E9">
              <w:rPr>
                <w:rFonts w:asciiTheme="majorHAnsi" w:hAnsiTheme="majorHAnsi" w:cstheme="majorHAnsi"/>
                <w:color w:val="auto"/>
                <w:sz w:val="24"/>
              </w:rPr>
              <w:t xml:space="preserve"> gave a brief</w:t>
            </w:r>
            <w:r>
              <w:rPr>
                <w:rFonts w:asciiTheme="majorHAnsi" w:hAnsiTheme="majorHAnsi" w:cstheme="majorHAnsi"/>
                <w:color w:val="auto"/>
                <w:sz w:val="24"/>
              </w:rPr>
              <w:t xml:space="preserve"> view of EAB Navigate. EAB Navigate has</w:t>
            </w:r>
            <w:r w:rsidR="007335E9">
              <w:rPr>
                <w:rFonts w:asciiTheme="majorHAnsi" w:hAnsiTheme="majorHAnsi" w:cstheme="majorHAnsi"/>
                <w:color w:val="auto"/>
                <w:sz w:val="24"/>
              </w:rPr>
              <w:t xml:space="preserve"> the following features</w:t>
            </w:r>
            <w:r>
              <w:rPr>
                <w:rFonts w:asciiTheme="majorHAnsi" w:hAnsiTheme="majorHAnsi" w:cstheme="majorHAnsi"/>
                <w:color w:val="auto"/>
                <w:sz w:val="24"/>
              </w:rPr>
              <w:t xml:space="preserve">: </w:t>
            </w:r>
            <w:r w:rsidR="000D599F">
              <w:rPr>
                <w:rFonts w:asciiTheme="majorHAnsi" w:hAnsiTheme="majorHAnsi" w:cstheme="majorHAnsi"/>
                <w:color w:val="auto"/>
                <w:sz w:val="24"/>
              </w:rPr>
              <w:t xml:space="preserve">it is a </w:t>
            </w:r>
            <w:r>
              <w:rPr>
                <w:rFonts w:asciiTheme="majorHAnsi" w:hAnsiTheme="majorHAnsi" w:cstheme="majorHAnsi"/>
                <w:color w:val="auto"/>
                <w:sz w:val="24"/>
              </w:rPr>
              <w:t xml:space="preserve">student success </w:t>
            </w:r>
            <w:r w:rsidR="00CB1F9F">
              <w:rPr>
                <w:rFonts w:asciiTheme="majorHAnsi" w:hAnsiTheme="majorHAnsi" w:cstheme="majorHAnsi"/>
                <w:color w:val="auto"/>
                <w:sz w:val="24"/>
              </w:rPr>
              <w:t>tool</w:t>
            </w:r>
            <w:r w:rsidR="000D599F">
              <w:rPr>
                <w:rFonts w:asciiTheme="majorHAnsi" w:hAnsiTheme="majorHAnsi" w:cstheme="majorHAnsi"/>
                <w:color w:val="auto"/>
                <w:sz w:val="24"/>
              </w:rPr>
              <w:t>,</w:t>
            </w:r>
            <w:r>
              <w:rPr>
                <w:rFonts w:asciiTheme="majorHAnsi" w:hAnsiTheme="majorHAnsi" w:cstheme="majorHAnsi"/>
                <w:color w:val="auto"/>
                <w:sz w:val="24"/>
              </w:rPr>
              <w:t xml:space="preserve"> </w:t>
            </w:r>
            <w:r w:rsidR="000D599F">
              <w:rPr>
                <w:rFonts w:asciiTheme="majorHAnsi" w:hAnsiTheme="majorHAnsi" w:cstheme="majorHAnsi"/>
                <w:color w:val="auto"/>
                <w:sz w:val="24"/>
              </w:rPr>
              <w:t xml:space="preserve">serves as a </w:t>
            </w:r>
            <w:r>
              <w:rPr>
                <w:rFonts w:asciiTheme="majorHAnsi" w:hAnsiTheme="majorHAnsi" w:cstheme="majorHAnsi"/>
                <w:color w:val="auto"/>
                <w:sz w:val="24"/>
              </w:rPr>
              <w:t>major communic</w:t>
            </w:r>
            <w:r w:rsidR="000D599F">
              <w:rPr>
                <w:rFonts w:asciiTheme="majorHAnsi" w:hAnsiTheme="majorHAnsi" w:cstheme="majorHAnsi"/>
                <w:color w:val="auto"/>
                <w:sz w:val="24"/>
              </w:rPr>
              <w:t>ation system, provides</w:t>
            </w:r>
            <w:r w:rsidR="00AF1973">
              <w:rPr>
                <w:rFonts w:asciiTheme="majorHAnsi" w:hAnsiTheme="majorHAnsi" w:cstheme="majorHAnsi"/>
                <w:color w:val="auto"/>
                <w:sz w:val="24"/>
              </w:rPr>
              <w:t xml:space="preserve"> an easy and timely</w:t>
            </w:r>
            <w:r w:rsidR="000D599F">
              <w:rPr>
                <w:rFonts w:asciiTheme="majorHAnsi" w:hAnsiTheme="majorHAnsi" w:cstheme="majorHAnsi"/>
                <w:color w:val="auto"/>
                <w:sz w:val="24"/>
              </w:rPr>
              <w:t xml:space="preserve"> early-alert</w:t>
            </w:r>
            <w:r w:rsidR="00AF1973">
              <w:rPr>
                <w:rFonts w:asciiTheme="majorHAnsi" w:hAnsiTheme="majorHAnsi" w:cstheme="majorHAnsi"/>
                <w:color w:val="auto"/>
                <w:sz w:val="24"/>
              </w:rPr>
              <w:t xml:space="preserve"> system</w:t>
            </w:r>
            <w:r w:rsidR="000D599F">
              <w:rPr>
                <w:rFonts w:asciiTheme="majorHAnsi" w:hAnsiTheme="majorHAnsi" w:cstheme="majorHAnsi"/>
                <w:color w:val="auto"/>
                <w:sz w:val="24"/>
              </w:rPr>
              <w:t xml:space="preserve"> </w:t>
            </w:r>
            <w:r w:rsidR="001979F6">
              <w:rPr>
                <w:rFonts w:asciiTheme="majorHAnsi" w:hAnsiTheme="majorHAnsi" w:cstheme="majorHAnsi"/>
                <w:color w:val="auto"/>
                <w:sz w:val="24"/>
              </w:rPr>
              <w:t>for Mt. SAC</w:t>
            </w:r>
            <w:r w:rsidR="00AF1973">
              <w:rPr>
                <w:rFonts w:asciiTheme="majorHAnsi" w:hAnsiTheme="majorHAnsi" w:cstheme="majorHAnsi"/>
                <w:color w:val="auto"/>
                <w:sz w:val="24"/>
              </w:rPr>
              <w:t>. It p</w:t>
            </w:r>
            <w:r w:rsidR="00052817">
              <w:rPr>
                <w:rFonts w:asciiTheme="majorHAnsi" w:hAnsiTheme="majorHAnsi" w:cstheme="majorHAnsi"/>
                <w:color w:val="auto"/>
                <w:sz w:val="24"/>
              </w:rPr>
              <w:t>rovides immediate student information</w:t>
            </w:r>
            <w:r w:rsidR="00AF1973">
              <w:rPr>
                <w:rFonts w:asciiTheme="majorHAnsi" w:hAnsiTheme="majorHAnsi" w:cstheme="majorHAnsi"/>
                <w:color w:val="auto"/>
                <w:sz w:val="24"/>
              </w:rPr>
              <w:t xml:space="preserve"> to counselors including</w:t>
            </w:r>
            <w:r w:rsidR="00052817">
              <w:rPr>
                <w:rFonts w:asciiTheme="majorHAnsi" w:hAnsiTheme="majorHAnsi" w:cstheme="majorHAnsi"/>
                <w:color w:val="auto"/>
                <w:sz w:val="24"/>
              </w:rPr>
              <w:t xml:space="preserve">: personal information, academic information, </w:t>
            </w:r>
            <w:r w:rsidR="00AF1973">
              <w:rPr>
                <w:rFonts w:asciiTheme="majorHAnsi" w:hAnsiTheme="majorHAnsi" w:cstheme="majorHAnsi"/>
                <w:color w:val="auto"/>
                <w:sz w:val="24"/>
              </w:rPr>
              <w:t xml:space="preserve">and individualized </w:t>
            </w:r>
            <w:r w:rsidR="00052817">
              <w:rPr>
                <w:rFonts w:asciiTheme="majorHAnsi" w:hAnsiTheme="majorHAnsi" w:cstheme="majorHAnsi"/>
                <w:color w:val="auto"/>
                <w:sz w:val="24"/>
              </w:rPr>
              <w:t>notes for student</w:t>
            </w:r>
            <w:r w:rsidR="00AF1973">
              <w:rPr>
                <w:rFonts w:asciiTheme="majorHAnsi" w:hAnsiTheme="majorHAnsi" w:cstheme="majorHAnsi"/>
                <w:color w:val="auto"/>
                <w:sz w:val="24"/>
              </w:rPr>
              <w:t>s</w:t>
            </w:r>
            <w:r w:rsidR="00052817">
              <w:rPr>
                <w:rFonts w:asciiTheme="majorHAnsi" w:hAnsiTheme="majorHAnsi" w:cstheme="majorHAnsi"/>
                <w:color w:val="auto"/>
                <w:sz w:val="24"/>
              </w:rPr>
              <w:t xml:space="preserve">. </w:t>
            </w:r>
            <w:r w:rsidR="00837788">
              <w:rPr>
                <w:rFonts w:asciiTheme="majorHAnsi" w:hAnsiTheme="majorHAnsi" w:cstheme="majorHAnsi"/>
                <w:color w:val="auto"/>
                <w:sz w:val="24"/>
              </w:rPr>
              <w:t xml:space="preserve">Dr. Dorame shared that the system will launch in Winter 2022 and that training will be given as part of the rollout. </w:t>
            </w:r>
          </w:p>
        </w:tc>
        <w:tc>
          <w:tcPr>
            <w:tcW w:w="5305" w:type="dxa"/>
          </w:tcPr>
          <w:p w14:paraId="12853739" w14:textId="431EB7BA" w:rsidR="001A413A" w:rsidRDefault="00FE1BE4" w:rsidP="008E1D5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The committee appreciated the overview and member</w:t>
            </w:r>
            <w:r w:rsidR="00A64486">
              <w:rPr>
                <w:rFonts w:ascii="Tahoma" w:hAnsi="Tahoma" w:cs="Tahoma"/>
                <w:sz w:val="20"/>
              </w:rPr>
              <w:t>s are looking forward to EAB Navigate’s implementation and the next steps.</w:t>
            </w:r>
          </w:p>
        </w:tc>
      </w:tr>
    </w:tbl>
    <w:p w14:paraId="279BF4D8" w14:textId="05867449" w:rsidR="00C87FAB" w:rsidRDefault="00C87FAB" w:rsidP="007A7397">
      <w:pPr>
        <w:spacing w:after="0"/>
        <w:rPr>
          <w:rFonts w:asciiTheme="majorHAnsi" w:hAnsiTheme="majorHAnsi" w:cstheme="majorHAnsi"/>
          <w:color w:val="4472C4" w:themeColor="accent5"/>
          <w:sz w:val="28"/>
        </w:rPr>
      </w:pPr>
    </w:p>
    <w:p w14:paraId="1227B647" w14:textId="5DEB9903" w:rsidR="009727FB" w:rsidRPr="009727FB" w:rsidRDefault="009727FB" w:rsidP="007A7397">
      <w:pPr>
        <w:spacing w:after="0"/>
        <w:rPr>
          <w:rFonts w:asciiTheme="majorHAnsi" w:hAnsiTheme="majorHAnsi" w:cstheme="majorHAnsi"/>
          <w:b/>
          <w:color w:val="auto"/>
          <w:sz w:val="26"/>
          <w:szCs w:val="26"/>
        </w:rPr>
      </w:pPr>
      <w:r w:rsidRPr="009727FB">
        <w:rPr>
          <w:rFonts w:asciiTheme="majorHAnsi" w:hAnsiTheme="majorHAnsi" w:cstheme="majorHAnsi"/>
          <w:b/>
          <w:color w:val="auto"/>
          <w:sz w:val="26"/>
          <w:szCs w:val="26"/>
        </w:rPr>
        <w:t xml:space="preserve">Upcoming meeting date: </w:t>
      </w:r>
      <w:r w:rsidR="00760FC3">
        <w:rPr>
          <w:rFonts w:asciiTheme="majorHAnsi" w:hAnsiTheme="majorHAnsi" w:cstheme="majorHAnsi"/>
          <w:b/>
          <w:color w:val="auto"/>
          <w:sz w:val="26"/>
          <w:szCs w:val="26"/>
        </w:rPr>
        <w:t>April 27</w:t>
      </w:r>
      <w:r w:rsidR="000D3F44">
        <w:rPr>
          <w:rFonts w:asciiTheme="majorHAnsi" w:hAnsiTheme="majorHAnsi" w:cstheme="majorHAnsi"/>
          <w:b/>
          <w:color w:val="auto"/>
          <w:sz w:val="26"/>
          <w:szCs w:val="26"/>
        </w:rPr>
        <w:t>,</w:t>
      </w:r>
      <w:r w:rsidRPr="009727FB">
        <w:rPr>
          <w:rFonts w:asciiTheme="majorHAnsi" w:hAnsiTheme="majorHAnsi" w:cstheme="majorHAnsi"/>
          <w:b/>
          <w:color w:val="auto"/>
          <w:sz w:val="26"/>
          <w:szCs w:val="26"/>
        </w:rPr>
        <w:t xml:space="preserve"> 2021</w:t>
      </w:r>
    </w:p>
    <w:sectPr w:rsidR="009727FB" w:rsidRPr="009727FB" w:rsidSect="000878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310"/>
    <w:multiLevelType w:val="hybridMultilevel"/>
    <w:tmpl w:val="B4AE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110F2"/>
    <w:multiLevelType w:val="hybridMultilevel"/>
    <w:tmpl w:val="9168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D4889"/>
    <w:multiLevelType w:val="hybridMultilevel"/>
    <w:tmpl w:val="D18E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D3F82"/>
    <w:multiLevelType w:val="hybridMultilevel"/>
    <w:tmpl w:val="5C1E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3EA4"/>
    <w:multiLevelType w:val="hybridMultilevel"/>
    <w:tmpl w:val="C796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C0A32"/>
    <w:multiLevelType w:val="hybridMultilevel"/>
    <w:tmpl w:val="8402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C7219"/>
    <w:multiLevelType w:val="hybridMultilevel"/>
    <w:tmpl w:val="0580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C2B23"/>
    <w:multiLevelType w:val="hybridMultilevel"/>
    <w:tmpl w:val="9C02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64557"/>
    <w:multiLevelType w:val="hybridMultilevel"/>
    <w:tmpl w:val="AF80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11665"/>
    <w:multiLevelType w:val="hybridMultilevel"/>
    <w:tmpl w:val="9222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97"/>
    <w:rsid w:val="0004492E"/>
    <w:rsid w:val="00052817"/>
    <w:rsid w:val="00081D6F"/>
    <w:rsid w:val="00083C43"/>
    <w:rsid w:val="00087864"/>
    <w:rsid w:val="000975B1"/>
    <w:rsid w:val="000A14DF"/>
    <w:rsid w:val="000A71B5"/>
    <w:rsid w:val="000D3F44"/>
    <w:rsid w:val="000D599F"/>
    <w:rsid w:val="00116C63"/>
    <w:rsid w:val="0016040B"/>
    <w:rsid w:val="00161C47"/>
    <w:rsid w:val="001979F6"/>
    <w:rsid w:val="001A413A"/>
    <w:rsid w:val="0021484A"/>
    <w:rsid w:val="00220131"/>
    <w:rsid w:val="002A26EB"/>
    <w:rsid w:val="00343AA5"/>
    <w:rsid w:val="003552E9"/>
    <w:rsid w:val="0036519F"/>
    <w:rsid w:val="003939D6"/>
    <w:rsid w:val="003A3D05"/>
    <w:rsid w:val="003D4A3A"/>
    <w:rsid w:val="003E350B"/>
    <w:rsid w:val="00455FDE"/>
    <w:rsid w:val="004876D2"/>
    <w:rsid w:val="00491C2E"/>
    <w:rsid w:val="00495C42"/>
    <w:rsid w:val="004C0825"/>
    <w:rsid w:val="004E0EE0"/>
    <w:rsid w:val="005325BC"/>
    <w:rsid w:val="00573D41"/>
    <w:rsid w:val="005A1F05"/>
    <w:rsid w:val="005C41F9"/>
    <w:rsid w:val="005E449A"/>
    <w:rsid w:val="00631DE6"/>
    <w:rsid w:val="006440BF"/>
    <w:rsid w:val="00673F73"/>
    <w:rsid w:val="00690211"/>
    <w:rsid w:val="006A51CA"/>
    <w:rsid w:val="006C24C9"/>
    <w:rsid w:val="006F06AA"/>
    <w:rsid w:val="00723BCC"/>
    <w:rsid w:val="00724C9F"/>
    <w:rsid w:val="007335E9"/>
    <w:rsid w:val="00751305"/>
    <w:rsid w:val="00752BF3"/>
    <w:rsid w:val="00760FC3"/>
    <w:rsid w:val="007A08B9"/>
    <w:rsid w:val="007A7397"/>
    <w:rsid w:val="007B1382"/>
    <w:rsid w:val="007C454E"/>
    <w:rsid w:val="007F2479"/>
    <w:rsid w:val="007F7946"/>
    <w:rsid w:val="00817FBE"/>
    <w:rsid w:val="00821809"/>
    <w:rsid w:val="00837788"/>
    <w:rsid w:val="00876D23"/>
    <w:rsid w:val="008B2C35"/>
    <w:rsid w:val="008E1D52"/>
    <w:rsid w:val="00910A0C"/>
    <w:rsid w:val="0093076B"/>
    <w:rsid w:val="0093391C"/>
    <w:rsid w:val="00950555"/>
    <w:rsid w:val="009555A9"/>
    <w:rsid w:val="009727FB"/>
    <w:rsid w:val="00986F52"/>
    <w:rsid w:val="009B1D99"/>
    <w:rsid w:val="00A02E2C"/>
    <w:rsid w:val="00A23A75"/>
    <w:rsid w:val="00A25DBB"/>
    <w:rsid w:val="00A268C3"/>
    <w:rsid w:val="00A64486"/>
    <w:rsid w:val="00A653A0"/>
    <w:rsid w:val="00A71447"/>
    <w:rsid w:val="00AA7005"/>
    <w:rsid w:val="00AC4C58"/>
    <w:rsid w:val="00AF1973"/>
    <w:rsid w:val="00B014A9"/>
    <w:rsid w:val="00B506FC"/>
    <w:rsid w:val="00B637FB"/>
    <w:rsid w:val="00B74534"/>
    <w:rsid w:val="00B83241"/>
    <w:rsid w:val="00BB589A"/>
    <w:rsid w:val="00BC5F94"/>
    <w:rsid w:val="00BF09EC"/>
    <w:rsid w:val="00C07A57"/>
    <w:rsid w:val="00C1293E"/>
    <w:rsid w:val="00C245AD"/>
    <w:rsid w:val="00C66020"/>
    <w:rsid w:val="00C75851"/>
    <w:rsid w:val="00C77517"/>
    <w:rsid w:val="00C87FAB"/>
    <w:rsid w:val="00C956EB"/>
    <w:rsid w:val="00CB1F9F"/>
    <w:rsid w:val="00CE7BFF"/>
    <w:rsid w:val="00D147BE"/>
    <w:rsid w:val="00D55221"/>
    <w:rsid w:val="00D62A9E"/>
    <w:rsid w:val="00D7335E"/>
    <w:rsid w:val="00DA15D1"/>
    <w:rsid w:val="00DC0C06"/>
    <w:rsid w:val="00DE0041"/>
    <w:rsid w:val="00DE41A4"/>
    <w:rsid w:val="00E11DDD"/>
    <w:rsid w:val="00E609BA"/>
    <w:rsid w:val="00E63304"/>
    <w:rsid w:val="00E76F8B"/>
    <w:rsid w:val="00EB0DBE"/>
    <w:rsid w:val="00EC651B"/>
    <w:rsid w:val="00ED745A"/>
    <w:rsid w:val="00EF6FE6"/>
    <w:rsid w:val="00F012E5"/>
    <w:rsid w:val="00F25C2D"/>
    <w:rsid w:val="00F33F7D"/>
    <w:rsid w:val="00F343DF"/>
    <w:rsid w:val="00F376E2"/>
    <w:rsid w:val="00FB3059"/>
    <w:rsid w:val="00F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6764"/>
  <w15:chartTrackingRefBased/>
  <w15:docId w15:val="{61AEBB9F-9393-4A51-8304-BE080232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39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7F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7F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7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sac0-my.sharepoint.com/:w:/g/personal/varenas_mtsac_edu/ES7Y2ik4JBNGvSn2g7fJ2RkBJiCBmH-oN6jJRKhPopqh5w?e=AIJyt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crc.tc.columbia.edu/easyblog/postsecondary-math-obstacles-underserved-students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ccpln.csod.com/samldefault.aspx?ouid=12&amp;returnurl=%252fDeepLink%252fProcessRedirect.aspx%253fmodule%253dlodetails%2526lo%253dc8cc0a8f-a2ee-43cf-8d9d-985eeae7f7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B57D4DCF51E4DBD612CABFF5DA7DF" ma:contentTypeVersion="15" ma:contentTypeDescription="Create a new document." ma:contentTypeScope="" ma:versionID="63d6c04463f6aeffbcff952266884d2e">
  <xsd:schema xmlns:xsd="http://www.w3.org/2001/XMLSchema" xmlns:xs="http://www.w3.org/2001/XMLSchema" xmlns:p="http://schemas.microsoft.com/office/2006/metadata/properties" xmlns:ns1="http://schemas.microsoft.com/sharepoint/v3" xmlns:ns3="2c4a1f07-1a8d-4aa3-a448-d16216ae98d7" xmlns:ns4="75c1f62e-ec64-4ba7-a272-942296475bf0" targetNamespace="http://schemas.microsoft.com/office/2006/metadata/properties" ma:root="true" ma:fieldsID="6554f58ced12a7efb8934f882f810663" ns1:_="" ns3:_="" ns4:_="">
    <xsd:import namespace="http://schemas.microsoft.com/sharepoint/v3"/>
    <xsd:import namespace="2c4a1f07-1a8d-4aa3-a448-d16216ae98d7"/>
    <xsd:import namespace="75c1f62e-ec64-4ba7-a272-94229647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1f07-1a8d-4aa3-a448-d16216ae9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1f62e-ec64-4ba7-a272-942296475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C6A52-A051-4273-B0CF-E5A36791E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301EA-FFD3-4A71-9B54-B7BE958FAE0F}">
  <ds:schemaRefs>
    <ds:schemaRef ds:uri="http://purl.org/dc/elements/1.1/"/>
    <ds:schemaRef ds:uri="http://schemas.microsoft.com/office/2006/metadata/properties"/>
    <ds:schemaRef ds:uri="75c1f62e-ec64-4ba7-a272-942296475bf0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c4a1f07-1a8d-4aa3-a448-d16216ae98d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8DC4BF-55B5-449F-9323-2F43112AA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4a1f07-1a8d-4aa3-a448-d16216ae98d7"/>
    <ds:schemaRef ds:uri="75c1f62e-ec64-4ba7-a272-94229647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3130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Arenas Juarez, Vianey</dc:creator>
  <cp:keywords/>
  <dc:description/>
  <cp:lastModifiedBy>Acero, Maridelle</cp:lastModifiedBy>
  <cp:revision>2</cp:revision>
  <dcterms:created xsi:type="dcterms:W3CDTF">2021-04-28T01:15:00Z</dcterms:created>
  <dcterms:modified xsi:type="dcterms:W3CDTF">2021-04-28T01:15:00Z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0x0101004D3B57D4DCF51E4DBD612CABFF5DA7DF</vt:lpwstr>
  </property>
</Properties>
</file>