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694C" w14:textId="77777777" w:rsidR="007A7397" w:rsidRPr="002069CA" w:rsidRDefault="007A7397" w:rsidP="007A7397">
      <w:pPr>
        <w:spacing w:after="0"/>
        <w:ind w:right="1"/>
        <w:jc w:val="right"/>
        <w:rPr>
          <w:rFonts w:asciiTheme="majorHAnsi" w:hAnsiTheme="majorHAnsi" w:cstheme="majorHAnsi"/>
          <w:color w:val="4472C4" w:themeColor="accent5"/>
        </w:rPr>
      </w:pPr>
      <w:r w:rsidRPr="002069CA">
        <w:rPr>
          <w:rFonts w:asciiTheme="majorHAnsi" w:eastAsia="Tahoma" w:hAnsiTheme="majorHAnsi" w:cstheme="majorHAnsi"/>
          <w:b/>
          <w:color w:val="4472C4" w:themeColor="accent5"/>
          <w:sz w:val="28"/>
        </w:rPr>
        <w:t xml:space="preserve">Minutes </w:t>
      </w:r>
    </w:p>
    <w:p w14:paraId="2F0248AD" w14:textId="5202E648" w:rsidR="007A7397" w:rsidRPr="002069CA" w:rsidRDefault="007A7397" w:rsidP="007A7397">
      <w:pPr>
        <w:tabs>
          <w:tab w:val="center" w:pos="3835"/>
          <w:tab w:val="right" w:pos="14837"/>
        </w:tabs>
        <w:spacing w:after="0"/>
        <w:rPr>
          <w:rFonts w:asciiTheme="majorHAnsi" w:hAnsiTheme="majorHAnsi" w:cstheme="majorHAnsi"/>
          <w:color w:val="4472C4" w:themeColor="accent5"/>
        </w:rPr>
      </w:pPr>
      <w:r w:rsidRPr="002069CA">
        <w:rPr>
          <w:rFonts w:asciiTheme="majorHAnsi" w:hAnsiTheme="majorHAnsi" w:cstheme="majorHAnsi"/>
          <w:color w:val="4472C4" w:themeColor="accent5"/>
        </w:rPr>
        <w:tab/>
      </w:r>
      <w:r w:rsidRPr="002069CA">
        <w:rPr>
          <w:rFonts w:asciiTheme="majorHAnsi" w:eastAsia="Tahoma" w:hAnsiTheme="majorHAnsi" w:cstheme="majorHAnsi"/>
          <w:b/>
          <w:color w:val="4472C4" w:themeColor="accent5"/>
          <w:sz w:val="32"/>
        </w:rPr>
        <w:t xml:space="preserve">Mt. San Antonio College </w:t>
      </w:r>
      <w:r w:rsidRPr="002069CA">
        <w:rPr>
          <w:rFonts w:asciiTheme="majorHAnsi" w:eastAsia="Tahoma" w:hAnsiTheme="majorHAnsi" w:cstheme="majorHAnsi"/>
          <w:b/>
          <w:color w:val="4472C4" w:themeColor="accent5"/>
          <w:sz w:val="32"/>
        </w:rPr>
        <w:tab/>
      </w:r>
      <w:r w:rsidR="001A63FE">
        <w:rPr>
          <w:rFonts w:asciiTheme="majorHAnsi" w:eastAsia="Tahoma" w:hAnsiTheme="majorHAnsi" w:cstheme="majorHAnsi"/>
          <w:b/>
          <w:color w:val="4472C4" w:themeColor="accent5"/>
          <w:sz w:val="24"/>
        </w:rPr>
        <w:t>April 27</w:t>
      </w:r>
      <w:r>
        <w:rPr>
          <w:rFonts w:asciiTheme="majorHAnsi" w:eastAsia="Tahoma" w:hAnsiTheme="majorHAnsi" w:cstheme="majorHAnsi"/>
          <w:b/>
          <w:color w:val="4472C4" w:themeColor="accent5"/>
          <w:sz w:val="24"/>
        </w:rPr>
        <w:t>, 2021</w:t>
      </w:r>
      <w:r w:rsidRPr="002069CA">
        <w:rPr>
          <w:rFonts w:asciiTheme="majorHAnsi" w:eastAsia="Tahoma" w:hAnsiTheme="majorHAnsi" w:cstheme="majorHAnsi"/>
          <w:b/>
          <w:color w:val="4472C4" w:themeColor="accent5"/>
          <w:sz w:val="24"/>
        </w:rPr>
        <w:t xml:space="preserve"> </w:t>
      </w:r>
    </w:p>
    <w:p w14:paraId="05AAD3F1" w14:textId="77777777" w:rsidR="007A7397" w:rsidRPr="002069CA" w:rsidRDefault="007A7397" w:rsidP="007A7397">
      <w:pPr>
        <w:tabs>
          <w:tab w:val="center" w:pos="3833"/>
          <w:tab w:val="right" w:pos="14837"/>
        </w:tabs>
        <w:spacing w:after="0"/>
        <w:rPr>
          <w:rFonts w:asciiTheme="majorHAnsi" w:hAnsiTheme="majorHAnsi" w:cstheme="majorHAnsi"/>
          <w:color w:val="4472C4" w:themeColor="accent5"/>
        </w:rPr>
      </w:pPr>
      <w:r w:rsidRPr="002069CA">
        <w:rPr>
          <w:rFonts w:asciiTheme="majorHAnsi" w:hAnsiTheme="majorHAnsi" w:cstheme="majorHAnsi"/>
          <w:color w:val="4472C4" w:themeColor="accent5"/>
        </w:rPr>
        <w:tab/>
      </w:r>
      <w:r w:rsidRPr="00FC0C8D">
        <w:rPr>
          <w:rFonts w:asciiTheme="majorHAnsi" w:eastAsia="Tahoma" w:hAnsiTheme="majorHAnsi" w:cstheme="majorHAnsi"/>
          <w:b/>
          <w:color w:val="4472C4" w:themeColor="accent5"/>
          <w:sz w:val="32"/>
        </w:rPr>
        <w:t>Retention and Persistence Committee</w:t>
      </w:r>
      <w:r w:rsidRPr="002069CA">
        <w:rPr>
          <w:rFonts w:asciiTheme="majorHAnsi" w:eastAsia="Tahoma" w:hAnsiTheme="majorHAnsi" w:cstheme="majorHAnsi"/>
          <w:b/>
          <w:color w:val="4472C4" w:themeColor="accent5"/>
          <w:sz w:val="24"/>
        </w:rPr>
        <w:t xml:space="preserve"> </w:t>
      </w:r>
      <w:r w:rsidRPr="002069CA">
        <w:rPr>
          <w:rFonts w:asciiTheme="majorHAnsi" w:eastAsia="Tahoma" w:hAnsiTheme="majorHAnsi" w:cstheme="majorHAnsi"/>
          <w:b/>
          <w:color w:val="4472C4" w:themeColor="accent5"/>
          <w:sz w:val="24"/>
        </w:rPr>
        <w:tab/>
      </w:r>
      <w:r w:rsidRPr="002573A3">
        <w:rPr>
          <w:rFonts w:asciiTheme="majorHAnsi" w:eastAsia="Times New Roman" w:hAnsiTheme="majorHAnsi" w:cstheme="majorHAnsi"/>
          <w:b/>
          <w:color w:val="4472C4" w:themeColor="accent5"/>
          <w:sz w:val="24"/>
        </w:rPr>
        <w:t>3:00pm – 4:30pm</w:t>
      </w:r>
      <w:r w:rsidRPr="002573A3">
        <w:rPr>
          <w:rFonts w:asciiTheme="majorHAnsi" w:eastAsia="Tahoma" w:hAnsiTheme="majorHAnsi" w:cstheme="majorHAnsi"/>
          <w:b/>
          <w:color w:val="4472C4" w:themeColor="accent5"/>
          <w:sz w:val="36"/>
          <w:vertAlign w:val="superscript"/>
        </w:rPr>
        <w:t xml:space="preserve"> </w:t>
      </w:r>
    </w:p>
    <w:p w14:paraId="7C258484" w14:textId="77777777" w:rsidR="004876D2" w:rsidRPr="002573A3" w:rsidRDefault="007A7397" w:rsidP="007A7397">
      <w:pPr>
        <w:spacing w:after="0"/>
        <w:jc w:val="right"/>
        <w:rPr>
          <w:rFonts w:asciiTheme="majorHAnsi" w:eastAsia="Tahoma" w:hAnsiTheme="majorHAnsi" w:cstheme="majorHAnsi"/>
          <w:b/>
          <w:color w:val="4472C4" w:themeColor="accent5"/>
          <w:sz w:val="24"/>
        </w:rPr>
      </w:pPr>
      <w:r w:rsidRPr="002573A3">
        <w:rPr>
          <w:rFonts w:asciiTheme="majorHAnsi" w:eastAsia="Tahoma" w:hAnsiTheme="majorHAnsi" w:cstheme="majorHAnsi"/>
          <w:b/>
          <w:color w:val="4472C4" w:themeColor="accent5"/>
          <w:sz w:val="24"/>
        </w:rPr>
        <w:t>Zoom Meeting</w:t>
      </w:r>
    </w:p>
    <w:p w14:paraId="059175C8" w14:textId="1DA5C93A" w:rsidR="00105331" w:rsidRDefault="007A7397" w:rsidP="007A7397">
      <w:pPr>
        <w:spacing w:after="0"/>
        <w:jc w:val="right"/>
        <w:rPr>
          <w:rFonts w:asciiTheme="majorHAnsi" w:hAnsiTheme="majorHAnsi" w:cstheme="majorHAnsi"/>
          <w:color w:val="4472C4" w:themeColor="accent5"/>
          <w:sz w:val="28"/>
        </w:rPr>
      </w:pPr>
      <w:r w:rsidRPr="002069CA">
        <w:rPr>
          <w:rFonts w:asciiTheme="majorHAnsi" w:eastAsia="Tahoma" w:hAnsiTheme="majorHAnsi" w:cstheme="majorHAnsi"/>
          <w:b/>
          <w:color w:val="4472C4" w:themeColor="accent5"/>
          <w:sz w:val="24"/>
        </w:rPr>
        <w:t xml:space="preserve"> </w:t>
      </w:r>
    </w:p>
    <w:tbl>
      <w:tblPr>
        <w:tblStyle w:val="TableGrid"/>
        <w:tblW w:w="0" w:type="auto"/>
        <w:tblLook w:val="04A0" w:firstRow="1" w:lastRow="0" w:firstColumn="1" w:lastColumn="0" w:noHBand="0" w:noVBand="1"/>
      </w:tblPr>
      <w:tblGrid>
        <w:gridCol w:w="517"/>
        <w:gridCol w:w="3953"/>
        <w:gridCol w:w="517"/>
        <w:gridCol w:w="2456"/>
        <w:gridCol w:w="534"/>
        <w:gridCol w:w="2563"/>
        <w:gridCol w:w="517"/>
        <w:gridCol w:w="3330"/>
      </w:tblGrid>
      <w:tr w:rsidR="0004492E" w14:paraId="54D8D925" w14:textId="77777777" w:rsidTr="00C77517">
        <w:trPr>
          <w:trHeight w:val="387"/>
        </w:trPr>
        <w:tc>
          <w:tcPr>
            <w:tcW w:w="517" w:type="dxa"/>
          </w:tcPr>
          <w:p w14:paraId="38603A18" w14:textId="63899133" w:rsidR="0004492E" w:rsidRDefault="0004492E" w:rsidP="0004492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5EA18CA6" w14:textId="77777777"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Jeanne Marie Velickovic (Co-Chair)</w:t>
            </w:r>
          </w:p>
        </w:tc>
        <w:tc>
          <w:tcPr>
            <w:tcW w:w="517" w:type="dxa"/>
          </w:tcPr>
          <w:p w14:paraId="769DA5A7" w14:textId="5BFAC47B"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2E74B5" w:themeColor="accent1" w:themeShade="BF"/>
                <w:sz w:val="28"/>
              </w:rPr>
              <w:sym w:font="Wingdings" w:char="F0FC"/>
            </w:r>
          </w:p>
        </w:tc>
        <w:tc>
          <w:tcPr>
            <w:tcW w:w="2456" w:type="dxa"/>
          </w:tcPr>
          <w:p w14:paraId="18E8E058" w14:textId="31FC6463"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Julie Cortez</w:t>
            </w:r>
          </w:p>
        </w:tc>
        <w:tc>
          <w:tcPr>
            <w:tcW w:w="534" w:type="dxa"/>
          </w:tcPr>
          <w:p w14:paraId="38F3605E" w14:textId="794957A6" w:rsidR="0004492E" w:rsidRPr="00A23A75" w:rsidRDefault="0004492E" w:rsidP="0004492E">
            <w:pPr>
              <w:rPr>
                <w:rFonts w:asciiTheme="majorHAnsi" w:hAnsiTheme="majorHAnsi" w:cstheme="majorHAnsi"/>
                <w:color w:val="2E74B5" w:themeColor="accent1" w:themeShade="BF"/>
                <w:sz w:val="28"/>
              </w:rPr>
            </w:pPr>
          </w:p>
        </w:tc>
        <w:tc>
          <w:tcPr>
            <w:tcW w:w="2563" w:type="dxa"/>
          </w:tcPr>
          <w:p w14:paraId="6BC4CC2A" w14:textId="46486203"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Jasmine McLeod</w:t>
            </w:r>
          </w:p>
        </w:tc>
        <w:tc>
          <w:tcPr>
            <w:tcW w:w="517" w:type="dxa"/>
          </w:tcPr>
          <w:p w14:paraId="77D9552D" w14:textId="471138D5" w:rsidR="0004492E" w:rsidRPr="00A23A75" w:rsidRDefault="0004492E" w:rsidP="0004492E">
            <w:pPr>
              <w:rPr>
                <w:rFonts w:asciiTheme="majorHAnsi" w:hAnsiTheme="majorHAnsi" w:cstheme="majorHAnsi"/>
                <w:color w:val="auto"/>
              </w:rPr>
            </w:pPr>
            <w:r>
              <w:rPr>
                <w:rFonts w:asciiTheme="majorHAnsi" w:hAnsiTheme="majorHAnsi" w:cstheme="majorHAnsi"/>
                <w:color w:val="4472C4" w:themeColor="accent5"/>
                <w:sz w:val="28"/>
              </w:rPr>
              <w:sym w:font="Wingdings" w:char="F0FC"/>
            </w:r>
          </w:p>
        </w:tc>
        <w:tc>
          <w:tcPr>
            <w:tcW w:w="3330" w:type="dxa"/>
          </w:tcPr>
          <w:p w14:paraId="67A58B2B" w14:textId="7CC79BC0" w:rsidR="0004492E" w:rsidRPr="00A23A75" w:rsidRDefault="0004492E" w:rsidP="0004492E">
            <w:pPr>
              <w:rPr>
                <w:rFonts w:asciiTheme="majorHAnsi" w:hAnsiTheme="majorHAnsi" w:cstheme="majorHAnsi"/>
                <w:color w:val="auto"/>
              </w:rPr>
            </w:pPr>
            <w:r>
              <w:rPr>
                <w:rFonts w:asciiTheme="majorHAnsi" w:hAnsiTheme="majorHAnsi" w:cstheme="majorHAnsi"/>
                <w:color w:val="auto"/>
              </w:rPr>
              <w:t>Susan Wright</w:t>
            </w:r>
          </w:p>
        </w:tc>
      </w:tr>
      <w:tr w:rsidR="0004492E" w14:paraId="1A09CD7A" w14:textId="77777777" w:rsidTr="00C77517">
        <w:trPr>
          <w:trHeight w:val="320"/>
        </w:trPr>
        <w:tc>
          <w:tcPr>
            <w:tcW w:w="517" w:type="dxa"/>
          </w:tcPr>
          <w:p w14:paraId="1E0F4932" w14:textId="1D17E1C2" w:rsidR="0004492E" w:rsidRDefault="0004492E" w:rsidP="0004492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4B77B418" w14:textId="77777777"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Shiloh Blacksher (Co-Chair)</w:t>
            </w:r>
          </w:p>
        </w:tc>
        <w:tc>
          <w:tcPr>
            <w:tcW w:w="517" w:type="dxa"/>
          </w:tcPr>
          <w:p w14:paraId="4A44C7A6" w14:textId="3DAC301E" w:rsidR="0004492E" w:rsidRPr="00A23A75" w:rsidRDefault="0004492E" w:rsidP="0004492E">
            <w:pPr>
              <w:rPr>
                <w:rFonts w:asciiTheme="majorHAnsi" w:hAnsiTheme="majorHAnsi" w:cstheme="majorHAnsi"/>
                <w:color w:val="2E74B5" w:themeColor="accent1" w:themeShade="BF"/>
                <w:sz w:val="28"/>
              </w:rPr>
            </w:pPr>
            <w:r w:rsidRPr="00A23A75">
              <w:rPr>
                <w:rFonts w:asciiTheme="majorHAnsi" w:hAnsiTheme="majorHAnsi" w:cstheme="majorHAnsi"/>
                <w:color w:val="2E74B5" w:themeColor="accent1" w:themeShade="BF"/>
                <w:sz w:val="28"/>
              </w:rPr>
              <w:sym w:font="Wingdings" w:char="F0FC"/>
            </w:r>
          </w:p>
        </w:tc>
        <w:tc>
          <w:tcPr>
            <w:tcW w:w="2456" w:type="dxa"/>
          </w:tcPr>
          <w:p w14:paraId="4BABF75B" w14:textId="5D89DEF4"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Sun Ezzell</w:t>
            </w:r>
          </w:p>
        </w:tc>
        <w:tc>
          <w:tcPr>
            <w:tcW w:w="534" w:type="dxa"/>
          </w:tcPr>
          <w:p w14:paraId="1F3D45E9" w14:textId="5FD8629E" w:rsidR="0004492E" w:rsidRPr="00A23A75" w:rsidRDefault="0004492E" w:rsidP="0004492E">
            <w:pPr>
              <w:rPr>
                <w:rFonts w:asciiTheme="majorHAnsi" w:hAnsiTheme="majorHAnsi" w:cstheme="majorHAnsi"/>
                <w:color w:val="2E74B5" w:themeColor="accent1" w:themeShade="BF"/>
                <w:sz w:val="28"/>
              </w:rPr>
            </w:pPr>
            <w:r>
              <w:rPr>
                <w:rFonts w:asciiTheme="majorHAnsi" w:hAnsiTheme="majorHAnsi" w:cstheme="majorHAnsi"/>
                <w:color w:val="4472C4" w:themeColor="accent5"/>
                <w:sz w:val="28"/>
              </w:rPr>
              <w:sym w:font="Wingdings" w:char="F0FC"/>
            </w:r>
          </w:p>
        </w:tc>
        <w:tc>
          <w:tcPr>
            <w:tcW w:w="2563" w:type="dxa"/>
          </w:tcPr>
          <w:p w14:paraId="0CAFCC0C" w14:textId="36F61FB9"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Sara Mestas</w:t>
            </w:r>
          </w:p>
        </w:tc>
        <w:tc>
          <w:tcPr>
            <w:tcW w:w="517" w:type="dxa"/>
          </w:tcPr>
          <w:p w14:paraId="4F339803" w14:textId="7ABE2A1A" w:rsidR="0004492E" w:rsidRPr="00A23A75" w:rsidRDefault="0004492E" w:rsidP="0004492E">
            <w:pPr>
              <w:rPr>
                <w:rFonts w:asciiTheme="majorHAnsi" w:hAnsiTheme="majorHAnsi" w:cstheme="majorHAnsi"/>
                <w:color w:val="auto"/>
              </w:rPr>
            </w:pPr>
            <w:r>
              <w:rPr>
                <w:rFonts w:asciiTheme="majorHAnsi" w:hAnsiTheme="majorHAnsi" w:cstheme="majorHAnsi"/>
                <w:color w:val="4472C4" w:themeColor="accent5"/>
                <w:sz w:val="28"/>
              </w:rPr>
              <w:sym w:font="Wingdings" w:char="F0FC"/>
            </w:r>
          </w:p>
        </w:tc>
        <w:tc>
          <w:tcPr>
            <w:tcW w:w="3330" w:type="dxa"/>
          </w:tcPr>
          <w:p w14:paraId="095B9903" w14:textId="6AEA3024"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Vianey Arenas (Recorder)</w:t>
            </w:r>
          </w:p>
        </w:tc>
      </w:tr>
      <w:tr w:rsidR="0004492E" w14:paraId="3C1FB333" w14:textId="77777777" w:rsidTr="00C77517">
        <w:trPr>
          <w:trHeight w:val="345"/>
        </w:trPr>
        <w:tc>
          <w:tcPr>
            <w:tcW w:w="517" w:type="dxa"/>
          </w:tcPr>
          <w:p w14:paraId="051C7C71" w14:textId="1F07F200" w:rsidR="0004492E" w:rsidRDefault="0004492E" w:rsidP="0004492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30DEBA97" w14:textId="77777777"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 xml:space="preserve">Haneen </w:t>
            </w:r>
            <w:proofErr w:type="spellStart"/>
            <w:r w:rsidRPr="00A23A75">
              <w:rPr>
                <w:rFonts w:asciiTheme="majorHAnsi" w:hAnsiTheme="majorHAnsi" w:cstheme="majorHAnsi"/>
                <w:color w:val="auto"/>
              </w:rPr>
              <w:t>Alghita</w:t>
            </w:r>
            <w:proofErr w:type="spellEnd"/>
            <w:r w:rsidRPr="00A23A75">
              <w:rPr>
                <w:rFonts w:asciiTheme="majorHAnsi" w:hAnsiTheme="majorHAnsi" w:cstheme="majorHAnsi"/>
                <w:color w:val="auto"/>
              </w:rPr>
              <w:t>-Agular</w:t>
            </w:r>
          </w:p>
        </w:tc>
        <w:tc>
          <w:tcPr>
            <w:tcW w:w="517" w:type="dxa"/>
          </w:tcPr>
          <w:p w14:paraId="6BA90DE4" w14:textId="72427B14" w:rsidR="0004492E" w:rsidRPr="00A23A75" w:rsidRDefault="0004492E" w:rsidP="0004492E">
            <w:pPr>
              <w:rPr>
                <w:rFonts w:asciiTheme="majorHAnsi" w:hAnsiTheme="majorHAnsi" w:cstheme="majorHAnsi"/>
                <w:color w:val="2E74B5" w:themeColor="accent1" w:themeShade="BF"/>
                <w:sz w:val="28"/>
              </w:rPr>
            </w:pPr>
            <w:r>
              <w:rPr>
                <w:rFonts w:asciiTheme="majorHAnsi" w:hAnsiTheme="majorHAnsi" w:cstheme="majorHAnsi"/>
                <w:color w:val="4472C4" w:themeColor="accent5"/>
                <w:sz w:val="28"/>
              </w:rPr>
              <w:sym w:font="Wingdings" w:char="F0FC"/>
            </w:r>
          </w:p>
        </w:tc>
        <w:tc>
          <w:tcPr>
            <w:tcW w:w="2456" w:type="dxa"/>
          </w:tcPr>
          <w:p w14:paraId="4F86D844" w14:textId="1A56F574"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Hong Guo</w:t>
            </w:r>
          </w:p>
        </w:tc>
        <w:tc>
          <w:tcPr>
            <w:tcW w:w="534" w:type="dxa"/>
          </w:tcPr>
          <w:p w14:paraId="03238D09" w14:textId="0B4C32A0" w:rsidR="0004492E" w:rsidRPr="00A23A75" w:rsidRDefault="0004492E" w:rsidP="0004492E">
            <w:pPr>
              <w:rPr>
                <w:rFonts w:asciiTheme="majorHAnsi" w:hAnsiTheme="majorHAnsi" w:cstheme="majorHAnsi"/>
                <w:color w:val="2E74B5" w:themeColor="accent1" w:themeShade="BF"/>
                <w:sz w:val="28"/>
              </w:rPr>
            </w:pPr>
            <w:r>
              <w:rPr>
                <w:rFonts w:asciiTheme="majorHAnsi" w:hAnsiTheme="majorHAnsi" w:cstheme="majorHAnsi"/>
                <w:color w:val="4472C4" w:themeColor="accent5"/>
                <w:sz w:val="28"/>
              </w:rPr>
              <w:sym w:font="Wingdings" w:char="F0FC"/>
            </w:r>
          </w:p>
        </w:tc>
        <w:tc>
          <w:tcPr>
            <w:tcW w:w="2563" w:type="dxa"/>
          </w:tcPr>
          <w:p w14:paraId="05E64E11" w14:textId="1C7FB4C8" w:rsidR="0004492E" w:rsidRPr="00A23A75" w:rsidRDefault="0004492E" w:rsidP="0004492E">
            <w:pPr>
              <w:rPr>
                <w:rFonts w:asciiTheme="majorHAnsi" w:hAnsiTheme="majorHAnsi" w:cstheme="majorHAnsi"/>
                <w:color w:val="auto"/>
              </w:rPr>
            </w:pPr>
            <w:r w:rsidRPr="00A23A75">
              <w:rPr>
                <w:rFonts w:asciiTheme="majorHAnsi" w:hAnsiTheme="majorHAnsi" w:cstheme="majorHAnsi"/>
                <w:color w:val="auto"/>
              </w:rPr>
              <w:t>Gizelle Ponzillo</w:t>
            </w:r>
          </w:p>
        </w:tc>
        <w:tc>
          <w:tcPr>
            <w:tcW w:w="517" w:type="dxa"/>
          </w:tcPr>
          <w:p w14:paraId="6F4D93B4" w14:textId="2DF9CB19" w:rsidR="0004492E" w:rsidRPr="00A23A75" w:rsidRDefault="0004492E" w:rsidP="0004492E">
            <w:pPr>
              <w:rPr>
                <w:rFonts w:asciiTheme="majorHAnsi" w:hAnsiTheme="majorHAnsi" w:cstheme="majorHAnsi"/>
                <w:color w:val="auto"/>
              </w:rPr>
            </w:pPr>
          </w:p>
        </w:tc>
        <w:tc>
          <w:tcPr>
            <w:tcW w:w="3330" w:type="dxa"/>
          </w:tcPr>
          <w:p w14:paraId="0E2853B3" w14:textId="7FDDBFDC" w:rsidR="0004492E" w:rsidRPr="00A23A75" w:rsidRDefault="0004492E" w:rsidP="0004492E">
            <w:pPr>
              <w:rPr>
                <w:rFonts w:asciiTheme="majorHAnsi" w:hAnsiTheme="majorHAnsi" w:cstheme="majorHAnsi"/>
                <w:color w:val="auto"/>
              </w:rPr>
            </w:pPr>
          </w:p>
        </w:tc>
      </w:tr>
      <w:tr w:rsidR="0004492E" w14:paraId="41056317" w14:textId="77777777" w:rsidTr="00C77517">
        <w:trPr>
          <w:trHeight w:val="357"/>
        </w:trPr>
        <w:tc>
          <w:tcPr>
            <w:tcW w:w="517" w:type="dxa"/>
          </w:tcPr>
          <w:p w14:paraId="272A75B5" w14:textId="18E109F1" w:rsidR="0004492E" w:rsidRDefault="0004492E" w:rsidP="0004492E">
            <w:pPr>
              <w:rPr>
                <w:rFonts w:asciiTheme="majorHAnsi" w:hAnsiTheme="majorHAnsi" w:cstheme="majorHAnsi"/>
                <w:color w:val="4472C4" w:themeColor="accent5"/>
                <w:sz w:val="28"/>
              </w:rPr>
            </w:pPr>
            <w:r w:rsidRPr="00A23A75">
              <w:rPr>
                <w:rFonts w:asciiTheme="majorHAnsi" w:hAnsiTheme="majorHAnsi" w:cstheme="majorHAnsi"/>
                <w:color w:val="2E74B5" w:themeColor="accent1" w:themeShade="BF"/>
                <w:sz w:val="28"/>
              </w:rPr>
              <w:sym w:font="Wingdings" w:char="F0FC"/>
            </w:r>
          </w:p>
        </w:tc>
        <w:tc>
          <w:tcPr>
            <w:tcW w:w="3953" w:type="dxa"/>
          </w:tcPr>
          <w:p w14:paraId="22F273DA" w14:textId="222F47BC" w:rsidR="0004492E" w:rsidRPr="00A23A75" w:rsidRDefault="0004492E" w:rsidP="0004492E">
            <w:pPr>
              <w:rPr>
                <w:rFonts w:asciiTheme="majorHAnsi" w:hAnsiTheme="majorHAnsi" w:cstheme="majorHAnsi"/>
                <w:color w:val="auto"/>
              </w:rPr>
            </w:pPr>
            <w:r>
              <w:rPr>
                <w:rFonts w:asciiTheme="majorHAnsi" w:hAnsiTheme="majorHAnsi" w:cstheme="majorHAnsi"/>
                <w:color w:val="auto"/>
              </w:rPr>
              <w:t>Daniel Berumen</w:t>
            </w:r>
          </w:p>
        </w:tc>
        <w:tc>
          <w:tcPr>
            <w:tcW w:w="517" w:type="dxa"/>
          </w:tcPr>
          <w:p w14:paraId="4A533688" w14:textId="6EB035F6" w:rsidR="0004492E" w:rsidRPr="00A23A75" w:rsidRDefault="0004492E" w:rsidP="0004492E">
            <w:pPr>
              <w:rPr>
                <w:rFonts w:asciiTheme="majorHAnsi" w:hAnsiTheme="majorHAnsi" w:cstheme="majorHAnsi"/>
                <w:color w:val="2E74B5" w:themeColor="accent1" w:themeShade="BF"/>
                <w:sz w:val="28"/>
              </w:rPr>
            </w:pPr>
          </w:p>
        </w:tc>
        <w:tc>
          <w:tcPr>
            <w:tcW w:w="2456" w:type="dxa"/>
          </w:tcPr>
          <w:p w14:paraId="755FCC0E" w14:textId="3D9632D4" w:rsidR="0004492E" w:rsidRPr="00A23A75" w:rsidRDefault="0004492E" w:rsidP="0004492E">
            <w:pPr>
              <w:rPr>
                <w:rFonts w:asciiTheme="majorHAnsi" w:hAnsiTheme="majorHAnsi" w:cstheme="majorHAnsi"/>
                <w:color w:val="auto"/>
              </w:rPr>
            </w:pPr>
            <w:r>
              <w:rPr>
                <w:rFonts w:asciiTheme="majorHAnsi" w:hAnsiTheme="majorHAnsi" w:cstheme="majorHAnsi"/>
                <w:color w:val="auto"/>
              </w:rPr>
              <w:t>LaTesha Hagler</w:t>
            </w:r>
          </w:p>
        </w:tc>
        <w:tc>
          <w:tcPr>
            <w:tcW w:w="534" w:type="dxa"/>
          </w:tcPr>
          <w:p w14:paraId="77242E51" w14:textId="789A843B" w:rsidR="0004492E" w:rsidRPr="00A23A75" w:rsidRDefault="0004492E" w:rsidP="0004492E">
            <w:pPr>
              <w:rPr>
                <w:rFonts w:asciiTheme="majorHAnsi" w:hAnsiTheme="majorHAnsi" w:cstheme="majorHAnsi"/>
                <w:color w:val="2E74B5" w:themeColor="accent1" w:themeShade="BF"/>
                <w:sz w:val="28"/>
              </w:rPr>
            </w:pPr>
          </w:p>
        </w:tc>
        <w:tc>
          <w:tcPr>
            <w:tcW w:w="2563" w:type="dxa"/>
          </w:tcPr>
          <w:p w14:paraId="4211D5BB" w14:textId="754A395C" w:rsidR="0004492E" w:rsidRPr="00A23A75" w:rsidRDefault="0004492E" w:rsidP="0004492E">
            <w:pPr>
              <w:rPr>
                <w:rFonts w:asciiTheme="majorHAnsi" w:hAnsiTheme="majorHAnsi" w:cstheme="majorHAnsi"/>
                <w:color w:val="auto"/>
              </w:rPr>
            </w:pPr>
            <w:r>
              <w:rPr>
                <w:rFonts w:asciiTheme="majorHAnsi" w:hAnsiTheme="majorHAnsi" w:cstheme="majorHAnsi"/>
                <w:color w:val="auto"/>
              </w:rPr>
              <w:t>Jaime Rodriguez (Guest)</w:t>
            </w:r>
          </w:p>
        </w:tc>
        <w:tc>
          <w:tcPr>
            <w:tcW w:w="517" w:type="dxa"/>
          </w:tcPr>
          <w:p w14:paraId="41414DF6" w14:textId="3301F229" w:rsidR="0004492E" w:rsidRPr="00A23A75" w:rsidRDefault="0004492E" w:rsidP="0004492E">
            <w:pPr>
              <w:rPr>
                <w:rFonts w:asciiTheme="majorHAnsi" w:hAnsiTheme="majorHAnsi" w:cstheme="majorHAnsi"/>
                <w:color w:val="auto"/>
              </w:rPr>
            </w:pPr>
          </w:p>
        </w:tc>
        <w:tc>
          <w:tcPr>
            <w:tcW w:w="3330" w:type="dxa"/>
          </w:tcPr>
          <w:p w14:paraId="0158A6D8" w14:textId="581A1C96" w:rsidR="0004492E" w:rsidRPr="00A23A75" w:rsidRDefault="0004492E" w:rsidP="0004492E">
            <w:pPr>
              <w:rPr>
                <w:rFonts w:asciiTheme="majorHAnsi" w:hAnsiTheme="majorHAnsi" w:cstheme="majorHAnsi"/>
                <w:color w:val="auto"/>
              </w:rPr>
            </w:pPr>
          </w:p>
        </w:tc>
      </w:tr>
      <w:tr w:rsidR="0004492E" w14:paraId="5409C30B" w14:textId="77777777" w:rsidTr="00C77517">
        <w:trPr>
          <w:trHeight w:val="308"/>
        </w:trPr>
        <w:tc>
          <w:tcPr>
            <w:tcW w:w="517" w:type="dxa"/>
          </w:tcPr>
          <w:p w14:paraId="06B75329" w14:textId="7FA739B3" w:rsidR="0004492E" w:rsidRDefault="0004492E" w:rsidP="0004492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41FDF6C1" w14:textId="33444A98" w:rsidR="0004492E" w:rsidRPr="00A23A75" w:rsidRDefault="0004492E" w:rsidP="0004492E">
            <w:pPr>
              <w:rPr>
                <w:rFonts w:asciiTheme="majorHAnsi" w:hAnsiTheme="majorHAnsi" w:cstheme="majorHAnsi"/>
                <w:color w:val="auto"/>
              </w:rPr>
            </w:pPr>
            <w:r>
              <w:rPr>
                <w:rFonts w:asciiTheme="majorHAnsi" w:hAnsiTheme="majorHAnsi" w:cstheme="majorHAnsi"/>
                <w:color w:val="auto"/>
              </w:rPr>
              <w:t>David Beydler</w:t>
            </w:r>
          </w:p>
        </w:tc>
        <w:tc>
          <w:tcPr>
            <w:tcW w:w="517" w:type="dxa"/>
          </w:tcPr>
          <w:p w14:paraId="46F0200E" w14:textId="7B78AED7" w:rsidR="0004492E" w:rsidRPr="00A23A75" w:rsidRDefault="0004492E" w:rsidP="0004492E">
            <w:pPr>
              <w:rPr>
                <w:rFonts w:asciiTheme="majorHAnsi" w:hAnsiTheme="majorHAnsi" w:cstheme="majorHAnsi"/>
                <w:color w:val="2E74B5" w:themeColor="accent1" w:themeShade="BF"/>
                <w:sz w:val="28"/>
              </w:rPr>
            </w:pPr>
            <w:r>
              <w:rPr>
                <w:rFonts w:asciiTheme="majorHAnsi" w:hAnsiTheme="majorHAnsi" w:cstheme="majorHAnsi"/>
                <w:color w:val="4472C4" w:themeColor="accent5"/>
                <w:sz w:val="28"/>
              </w:rPr>
              <w:sym w:font="Wingdings" w:char="F0FC"/>
            </w:r>
          </w:p>
        </w:tc>
        <w:tc>
          <w:tcPr>
            <w:tcW w:w="2456" w:type="dxa"/>
          </w:tcPr>
          <w:p w14:paraId="050AA00B" w14:textId="07056ECB" w:rsidR="0004492E" w:rsidRPr="00A23A75" w:rsidRDefault="0004492E" w:rsidP="0004492E">
            <w:pPr>
              <w:rPr>
                <w:rFonts w:asciiTheme="majorHAnsi" w:hAnsiTheme="majorHAnsi" w:cstheme="majorHAnsi"/>
                <w:color w:val="auto"/>
              </w:rPr>
            </w:pPr>
            <w:r>
              <w:rPr>
                <w:rFonts w:asciiTheme="majorHAnsi" w:hAnsiTheme="majorHAnsi" w:cstheme="majorHAnsi"/>
                <w:color w:val="auto"/>
              </w:rPr>
              <w:t>Lesley Johnson</w:t>
            </w:r>
          </w:p>
        </w:tc>
        <w:tc>
          <w:tcPr>
            <w:tcW w:w="534" w:type="dxa"/>
          </w:tcPr>
          <w:p w14:paraId="03AA6924" w14:textId="053ED4D5" w:rsidR="0004492E" w:rsidRPr="00A23A75" w:rsidRDefault="0004492E" w:rsidP="0004492E">
            <w:pPr>
              <w:rPr>
                <w:rFonts w:asciiTheme="majorHAnsi" w:hAnsiTheme="majorHAnsi" w:cstheme="majorHAnsi"/>
                <w:color w:val="2E74B5" w:themeColor="accent1" w:themeShade="BF"/>
                <w:sz w:val="28"/>
              </w:rPr>
            </w:pPr>
            <w:r>
              <w:rPr>
                <w:rFonts w:asciiTheme="majorHAnsi" w:hAnsiTheme="majorHAnsi" w:cstheme="majorHAnsi"/>
                <w:color w:val="4472C4" w:themeColor="accent5"/>
                <w:sz w:val="28"/>
              </w:rPr>
              <w:sym w:font="Wingdings" w:char="F0FC"/>
            </w:r>
          </w:p>
        </w:tc>
        <w:tc>
          <w:tcPr>
            <w:tcW w:w="2563" w:type="dxa"/>
          </w:tcPr>
          <w:p w14:paraId="3B9044D3" w14:textId="114019C0" w:rsidR="0004492E" w:rsidRPr="00A23A75" w:rsidRDefault="0004492E" w:rsidP="0004492E">
            <w:pPr>
              <w:rPr>
                <w:rFonts w:asciiTheme="majorHAnsi" w:hAnsiTheme="majorHAnsi" w:cstheme="majorHAnsi"/>
                <w:color w:val="auto"/>
              </w:rPr>
            </w:pPr>
            <w:r>
              <w:rPr>
                <w:rFonts w:asciiTheme="majorHAnsi" w:hAnsiTheme="majorHAnsi" w:cstheme="majorHAnsi"/>
                <w:color w:val="auto"/>
              </w:rPr>
              <w:t>Carlos Santana</w:t>
            </w:r>
          </w:p>
        </w:tc>
        <w:tc>
          <w:tcPr>
            <w:tcW w:w="517" w:type="dxa"/>
          </w:tcPr>
          <w:p w14:paraId="28AD15B7" w14:textId="4CE306BF" w:rsidR="0004492E" w:rsidRPr="00A23A75" w:rsidRDefault="0004492E" w:rsidP="0004492E">
            <w:pPr>
              <w:rPr>
                <w:rFonts w:asciiTheme="majorHAnsi" w:hAnsiTheme="majorHAnsi" w:cstheme="majorHAnsi"/>
                <w:color w:val="auto"/>
              </w:rPr>
            </w:pPr>
          </w:p>
        </w:tc>
        <w:tc>
          <w:tcPr>
            <w:tcW w:w="3330" w:type="dxa"/>
          </w:tcPr>
          <w:p w14:paraId="1326D6C3" w14:textId="7B9AE099" w:rsidR="0004492E" w:rsidRPr="00A23A75" w:rsidRDefault="0004492E" w:rsidP="0004492E">
            <w:pPr>
              <w:rPr>
                <w:rFonts w:asciiTheme="majorHAnsi" w:hAnsiTheme="majorHAnsi" w:cstheme="majorHAnsi"/>
                <w:color w:val="auto"/>
              </w:rPr>
            </w:pPr>
          </w:p>
        </w:tc>
      </w:tr>
      <w:tr w:rsidR="0004492E" w14:paraId="1BB7AE4E" w14:textId="77777777" w:rsidTr="00C77517">
        <w:trPr>
          <w:trHeight w:val="308"/>
        </w:trPr>
        <w:tc>
          <w:tcPr>
            <w:tcW w:w="517" w:type="dxa"/>
          </w:tcPr>
          <w:p w14:paraId="702C4F6F" w14:textId="045FCC2F" w:rsidR="0004492E" w:rsidRDefault="0004492E" w:rsidP="0004492E">
            <w:pPr>
              <w:rPr>
                <w:rFonts w:asciiTheme="majorHAnsi" w:hAnsiTheme="majorHAnsi" w:cstheme="majorHAnsi"/>
                <w:color w:val="4472C4" w:themeColor="accent5"/>
                <w:sz w:val="28"/>
              </w:rPr>
            </w:pPr>
            <w:r>
              <w:rPr>
                <w:rFonts w:asciiTheme="majorHAnsi" w:hAnsiTheme="majorHAnsi" w:cstheme="majorHAnsi"/>
                <w:color w:val="4472C4" w:themeColor="accent5"/>
                <w:sz w:val="28"/>
              </w:rPr>
              <w:sym w:font="Wingdings" w:char="F0FC"/>
            </w:r>
          </w:p>
        </w:tc>
        <w:tc>
          <w:tcPr>
            <w:tcW w:w="3953" w:type="dxa"/>
          </w:tcPr>
          <w:p w14:paraId="6EF03C93" w14:textId="0B3ED44C" w:rsidR="0004492E" w:rsidRDefault="0004492E" w:rsidP="0004492E">
            <w:pPr>
              <w:rPr>
                <w:rFonts w:asciiTheme="majorHAnsi" w:hAnsiTheme="majorHAnsi" w:cstheme="majorHAnsi"/>
                <w:color w:val="auto"/>
              </w:rPr>
            </w:pPr>
            <w:r>
              <w:rPr>
                <w:rFonts w:asciiTheme="majorHAnsi" w:hAnsiTheme="majorHAnsi" w:cstheme="majorHAnsi"/>
                <w:color w:val="auto"/>
              </w:rPr>
              <w:t>Elizabeth Casian</w:t>
            </w:r>
          </w:p>
        </w:tc>
        <w:tc>
          <w:tcPr>
            <w:tcW w:w="517" w:type="dxa"/>
          </w:tcPr>
          <w:p w14:paraId="1150B8EF" w14:textId="77777777" w:rsidR="0004492E" w:rsidRPr="00A23A75" w:rsidRDefault="0004492E" w:rsidP="0004492E">
            <w:pPr>
              <w:rPr>
                <w:rFonts w:asciiTheme="majorHAnsi" w:hAnsiTheme="majorHAnsi" w:cstheme="majorHAnsi"/>
                <w:color w:val="2E74B5" w:themeColor="accent1" w:themeShade="BF"/>
                <w:sz w:val="28"/>
              </w:rPr>
            </w:pPr>
          </w:p>
        </w:tc>
        <w:tc>
          <w:tcPr>
            <w:tcW w:w="2456" w:type="dxa"/>
          </w:tcPr>
          <w:p w14:paraId="60D36118" w14:textId="69B8B90F" w:rsidR="0004492E" w:rsidRDefault="0004492E" w:rsidP="0004492E">
            <w:pPr>
              <w:rPr>
                <w:rFonts w:asciiTheme="majorHAnsi" w:hAnsiTheme="majorHAnsi" w:cstheme="majorHAnsi"/>
                <w:color w:val="auto"/>
              </w:rPr>
            </w:pPr>
            <w:r w:rsidRPr="00A23A75">
              <w:rPr>
                <w:rFonts w:asciiTheme="majorHAnsi" w:hAnsiTheme="majorHAnsi" w:cstheme="majorHAnsi"/>
                <w:color w:val="auto"/>
              </w:rPr>
              <w:t>Tiffany Kuo (Guest)</w:t>
            </w:r>
          </w:p>
        </w:tc>
        <w:tc>
          <w:tcPr>
            <w:tcW w:w="534" w:type="dxa"/>
          </w:tcPr>
          <w:p w14:paraId="2840BF5F" w14:textId="5677A567" w:rsidR="0004492E" w:rsidRPr="00A23A75" w:rsidRDefault="0004492E" w:rsidP="0004492E">
            <w:pPr>
              <w:rPr>
                <w:rFonts w:asciiTheme="majorHAnsi" w:hAnsiTheme="majorHAnsi" w:cstheme="majorHAnsi"/>
                <w:color w:val="2E74B5" w:themeColor="accent1" w:themeShade="BF"/>
                <w:sz w:val="28"/>
              </w:rPr>
            </w:pPr>
            <w:r>
              <w:rPr>
                <w:rFonts w:asciiTheme="majorHAnsi" w:hAnsiTheme="majorHAnsi" w:cstheme="majorHAnsi"/>
                <w:color w:val="4472C4" w:themeColor="accent5"/>
                <w:sz w:val="28"/>
              </w:rPr>
              <w:sym w:font="Wingdings" w:char="F0FC"/>
            </w:r>
          </w:p>
        </w:tc>
        <w:tc>
          <w:tcPr>
            <w:tcW w:w="2563" w:type="dxa"/>
          </w:tcPr>
          <w:p w14:paraId="56FA5755" w14:textId="791652CE" w:rsidR="0004492E" w:rsidRDefault="0004492E" w:rsidP="0004492E">
            <w:pPr>
              <w:rPr>
                <w:rFonts w:asciiTheme="majorHAnsi" w:hAnsiTheme="majorHAnsi" w:cstheme="majorHAnsi"/>
                <w:color w:val="auto"/>
              </w:rPr>
            </w:pPr>
            <w:r w:rsidRPr="00A23A75">
              <w:rPr>
                <w:rFonts w:asciiTheme="majorHAnsi" w:hAnsiTheme="majorHAnsi" w:cstheme="majorHAnsi"/>
                <w:color w:val="auto"/>
              </w:rPr>
              <w:t>Ned Weidner</w:t>
            </w:r>
          </w:p>
        </w:tc>
        <w:tc>
          <w:tcPr>
            <w:tcW w:w="517" w:type="dxa"/>
          </w:tcPr>
          <w:p w14:paraId="5CF53E14" w14:textId="77777777" w:rsidR="0004492E" w:rsidRPr="004E0EE0" w:rsidRDefault="0004492E" w:rsidP="0004492E">
            <w:pPr>
              <w:rPr>
                <w:rFonts w:asciiTheme="majorHAnsi" w:hAnsiTheme="majorHAnsi" w:cstheme="majorHAnsi"/>
                <w:color w:val="2E74B5" w:themeColor="accent1" w:themeShade="BF"/>
                <w:sz w:val="28"/>
              </w:rPr>
            </w:pPr>
          </w:p>
        </w:tc>
        <w:tc>
          <w:tcPr>
            <w:tcW w:w="3330" w:type="dxa"/>
          </w:tcPr>
          <w:p w14:paraId="475B7C2D" w14:textId="1B7ECF7A" w:rsidR="0004492E" w:rsidRPr="00A23A75" w:rsidRDefault="0004492E" w:rsidP="0004492E">
            <w:pPr>
              <w:rPr>
                <w:rFonts w:asciiTheme="majorHAnsi" w:hAnsiTheme="majorHAnsi" w:cstheme="majorHAnsi"/>
                <w:color w:val="auto"/>
              </w:rPr>
            </w:pPr>
          </w:p>
        </w:tc>
      </w:tr>
    </w:tbl>
    <w:p w14:paraId="158C4C6C" w14:textId="19CEA4FB" w:rsidR="007A7397" w:rsidRDefault="007A7397" w:rsidP="007A7397">
      <w:pPr>
        <w:spacing w:after="0"/>
        <w:rPr>
          <w:rFonts w:asciiTheme="majorHAnsi" w:hAnsiTheme="majorHAnsi" w:cstheme="majorHAnsi"/>
          <w:color w:val="4472C4" w:themeColor="accent5"/>
          <w:sz w:val="28"/>
        </w:rPr>
      </w:pPr>
    </w:p>
    <w:tbl>
      <w:tblPr>
        <w:tblStyle w:val="TableGrid"/>
        <w:tblW w:w="0" w:type="auto"/>
        <w:tblLook w:val="04A0" w:firstRow="1" w:lastRow="0" w:firstColumn="1" w:lastColumn="0" w:noHBand="0" w:noVBand="1"/>
      </w:tblPr>
      <w:tblGrid>
        <w:gridCol w:w="2155"/>
        <w:gridCol w:w="6930"/>
        <w:gridCol w:w="5305"/>
      </w:tblGrid>
      <w:tr w:rsidR="00C87FAB" w14:paraId="7FBA520D" w14:textId="77777777" w:rsidTr="006F06AA">
        <w:tc>
          <w:tcPr>
            <w:tcW w:w="2155" w:type="dxa"/>
          </w:tcPr>
          <w:p w14:paraId="6ABFB958" w14:textId="4EAAD74B" w:rsidR="00C87FAB" w:rsidRPr="00C245AD" w:rsidRDefault="00C87FAB" w:rsidP="00C87FAB">
            <w:pPr>
              <w:jc w:val="center"/>
              <w:rPr>
                <w:rFonts w:asciiTheme="majorHAnsi" w:hAnsiTheme="majorHAnsi" w:cstheme="majorHAnsi"/>
                <w:color w:val="auto"/>
                <w:sz w:val="32"/>
              </w:rPr>
            </w:pPr>
            <w:r w:rsidRPr="00C245AD">
              <w:rPr>
                <w:rFonts w:asciiTheme="majorHAnsi" w:hAnsiTheme="majorHAnsi" w:cstheme="majorHAnsi"/>
                <w:color w:val="auto"/>
                <w:sz w:val="32"/>
              </w:rPr>
              <w:t>Agenda Item</w:t>
            </w:r>
          </w:p>
        </w:tc>
        <w:tc>
          <w:tcPr>
            <w:tcW w:w="6930" w:type="dxa"/>
          </w:tcPr>
          <w:p w14:paraId="58365A75" w14:textId="33352E35" w:rsidR="00C87FAB" w:rsidRPr="00C245AD" w:rsidRDefault="00C87FAB" w:rsidP="00C87FAB">
            <w:pPr>
              <w:jc w:val="center"/>
              <w:rPr>
                <w:rFonts w:asciiTheme="majorHAnsi" w:hAnsiTheme="majorHAnsi" w:cstheme="majorHAnsi"/>
                <w:color w:val="auto"/>
                <w:sz w:val="32"/>
              </w:rPr>
            </w:pPr>
            <w:r w:rsidRPr="00C245AD">
              <w:rPr>
                <w:rFonts w:asciiTheme="majorHAnsi" w:hAnsiTheme="majorHAnsi" w:cstheme="majorHAnsi"/>
                <w:color w:val="auto"/>
                <w:sz w:val="32"/>
              </w:rPr>
              <w:t>Discussion</w:t>
            </w:r>
          </w:p>
        </w:tc>
        <w:tc>
          <w:tcPr>
            <w:tcW w:w="5305" w:type="dxa"/>
          </w:tcPr>
          <w:p w14:paraId="38390D27" w14:textId="087EFAD1" w:rsidR="00C87FAB" w:rsidRPr="00C245AD" w:rsidRDefault="00C87FAB" w:rsidP="00C87FAB">
            <w:pPr>
              <w:jc w:val="center"/>
              <w:rPr>
                <w:rFonts w:asciiTheme="majorHAnsi" w:hAnsiTheme="majorHAnsi" w:cstheme="majorHAnsi"/>
                <w:color w:val="auto"/>
                <w:sz w:val="32"/>
              </w:rPr>
            </w:pPr>
            <w:r w:rsidRPr="00C245AD">
              <w:rPr>
                <w:rFonts w:asciiTheme="majorHAnsi" w:hAnsiTheme="majorHAnsi" w:cstheme="majorHAnsi"/>
                <w:color w:val="auto"/>
                <w:sz w:val="32"/>
              </w:rPr>
              <w:t>Outcome</w:t>
            </w:r>
          </w:p>
        </w:tc>
      </w:tr>
      <w:tr w:rsidR="00C87FAB" w14:paraId="566704F9" w14:textId="77777777" w:rsidTr="006F06AA">
        <w:tc>
          <w:tcPr>
            <w:tcW w:w="2155" w:type="dxa"/>
            <w:vAlign w:val="center"/>
          </w:tcPr>
          <w:p w14:paraId="26908F29" w14:textId="2F7F1540" w:rsidR="00C87FAB" w:rsidRPr="00C87FAB" w:rsidRDefault="00C87FAB" w:rsidP="00C87FAB">
            <w:pPr>
              <w:jc w:val="center"/>
              <w:rPr>
                <w:rFonts w:asciiTheme="majorHAnsi" w:hAnsiTheme="majorHAnsi" w:cstheme="majorHAnsi"/>
                <w:color w:val="auto"/>
                <w:sz w:val="28"/>
              </w:rPr>
            </w:pPr>
            <w:r w:rsidRPr="009B485F">
              <w:rPr>
                <w:rFonts w:asciiTheme="majorHAnsi" w:eastAsia="Tahoma" w:hAnsiTheme="majorHAnsi" w:cstheme="majorHAnsi"/>
                <w:b/>
                <w:sz w:val="24"/>
              </w:rPr>
              <w:t>1.</w:t>
            </w:r>
            <w:r w:rsidRPr="009B485F">
              <w:rPr>
                <w:rFonts w:asciiTheme="majorHAnsi" w:eastAsia="Arial" w:hAnsiTheme="majorHAnsi" w:cstheme="majorHAnsi"/>
                <w:b/>
                <w:sz w:val="24"/>
              </w:rPr>
              <w:t xml:space="preserve"> </w:t>
            </w:r>
            <w:r>
              <w:rPr>
                <w:rFonts w:asciiTheme="majorHAnsi" w:eastAsia="Tahoma" w:hAnsiTheme="majorHAnsi" w:cstheme="majorHAnsi"/>
                <w:b/>
                <w:sz w:val="24"/>
              </w:rPr>
              <w:t>Welcome, Announcements and Approval of Minutes</w:t>
            </w:r>
          </w:p>
        </w:tc>
        <w:tc>
          <w:tcPr>
            <w:tcW w:w="6930" w:type="dxa"/>
          </w:tcPr>
          <w:p w14:paraId="4E4E50DA" w14:textId="77777777" w:rsidR="00083C43" w:rsidRDefault="00083C43" w:rsidP="00083C43">
            <w:pPr>
              <w:rPr>
                <w:rFonts w:asciiTheme="majorHAnsi" w:hAnsiTheme="majorHAnsi" w:cstheme="majorHAnsi"/>
                <w:sz w:val="24"/>
                <w:szCs w:val="24"/>
              </w:rPr>
            </w:pPr>
          </w:p>
          <w:p w14:paraId="12D0DC28" w14:textId="1A34C682" w:rsidR="00C87FAB" w:rsidRPr="00C87FAB" w:rsidRDefault="007F2479" w:rsidP="00F8257F">
            <w:pPr>
              <w:rPr>
                <w:rFonts w:asciiTheme="majorHAnsi" w:hAnsiTheme="majorHAnsi" w:cstheme="majorHAnsi"/>
                <w:color w:val="auto"/>
                <w:sz w:val="28"/>
              </w:rPr>
            </w:pPr>
            <w:r>
              <w:rPr>
                <w:rFonts w:asciiTheme="majorHAnsi" w:hAnsiTheme="majorHAnsi" w:cstheme="majorHAnsi"/>
                <w:sz w:val="24"/>
                <w:szCs w:val="24"/>
              </w:rPr>
              <w:t xml:space="preserve">The </w:t>
            </w:r>
            <w:r w:rsidR="000A71B5">
              <w:rPr>
                <w:rFonts w:asciiTheme="majorHAnsi" w:hAnsiTheme="majorHAnsi" w:cstheme="majorHAnsi"/>
                <w:sz w:val="24"/>
                <w:szCs w:val="24"/>
              </w:rPr>
              <w:t>c</w:t>
            </w:r>
            <w:r w:rsidR="00F8257F">
              <w:rPr>
                <w:rFonts w:asciiTheme="majorHAnsi" w:hAnsiTheme="majorHAnsi" w:cstheme="majorHAnsi"/>
                <w:sz w:val="24"/>
                <w:szCs w:val="24"/>
              </w:rPr>
              <w:t>ommittee reviewed minutes.</w:t>
            </w:r>
          </w:p>
        </w:tc>
        <w:tc>
          <w:tcPr>
            <w:tcW w:w="5305" w:type="dxa"/>
          </w:tcPr>
          <w:p w14:paraId="1C4F3318" w14:textId="58DE4C45" w:rsidR="00C87FAB" w:rsidRDefault="00FB0752" w:rsidP="00C87FAB">
            <w:pPr>
              <w:rPr>
                <w:rFonts w:ascii="Tahoma" w:hAnsi="Tahoma" w:cs="Tahoma"/>
                <w:color w:val="auto"/>
                <w:sz w:val="20"/>
              </w:rPr>
            </w:pPr>
            <w:r>
              <w:rPr>
                <w:rFonts w:ascii="Tahoma" w:hAnsi="Tahoma" w:cs="Tahoma"/>
                <w:color w:val="auto"/>
                <w:sz w:val="20"/>
              </w:rPr>
              <w:t>April 13</w:t>
            </w:r>
            <w:r w:rsidR="00FB3059">
              <w:rPr>
                <w:rFonts w:ascii="Tahoma" w:hAnsi="Tahoma" w:cs="Tahoma"/>
                <w:color w:val="auto"/>
                <w:sz w:val="20"/>
              </w:rPr>
              <w:t>, 2021</w:t>
            </w:r>
            <w:r w:rsidR="00C87FAB">
              <w:rPr>
                <w:rFonts w:ascii="Tahoma" w:hAnsi="Tahoma" w:cs="Tahoma"/>
                <w:color w:val="auto"/>
                <w:sz w:val="20"/>
              </w:rPr>
              <w:t xml:space="preserve"> minutes approved by committee.</w:t>
            </w:r>
          </w:p>
          <w:p w14:paraId="41DC1AD2" w14:textId="77777777" w:rsidR="00FB3059" w:rsidRDefault="00FB3059" w:rsidP="00C87FAB">
            <w:pPr>
              <w:rPr>
                <w:rFonts w:ascii="Tahoma" w:hAnsi="Tahoma" w:cs="Tahoma"/>
                <w:color w:val="auto"/>
                <w:sz w:val="20"/>
              </w:rPr>
            </w:pPr>
          </w:p>
          <w:p w14:paraId="719AB036" w14:textId="774A86BD" w:rsidR="006C24C9" w:rsidRPr="00F8257F" w:rsidRDefault="00F8257F" w:rsidP="00F8257F">
            <w:pPr>
              <w:rPr>
                <w:rFonts w:ascii="Tahoma" w:hAnsi="Tahoma" w:cs="Tahoma"/>
                <w:sz w:val="20"/>
              </w:rPr>
            </w:pPr>
            <w:r>
              <w:rPr>
                <w:rFonts w:ascii="Tahoma" w:hAnsi="Tahoma" w:cs="Tahoma"/>
                <w:color w:val="auto"/>
                <w:sz w:val="20"/>
              </w:rPr>
              <w:t>Cli</w:t>
            </w:r>
            <w:r w:rsidR="00C87FAB">
              <w:rPr>
                <w:rFonts w:ascii="Tahoma" w:hAnsi="Tahoma" w:cs="Tahoma"/>
                <w:color w:val="auto"/>
                <w:sz w:val="20"/>
              </w:rPr>
              <w:t xml:space="preserve">ck to view </w:t>
            </w:r>
            <w:hyperlink r:id="rId8" w:history="1">
              <w:r w:rsidR="00C87FAB" w:rsidRPr="00D7335E">
                <w:rPr>
                  <w:rStyle w:val="Hyperlink"/>
                  <w:rFonts w:ascii="Tahoma" w:hAnsi="Tahoma" w:cs="Tahoma"/>
                  <w:sz w:val="20"/>
                </w:rPr>
                <w:t xml:space="preserve">R&amp;P </w:t>
              </w:r>
              <w:r w:rsidR="002A26EB" w:rsidRPr="00D7335E">
                <w:rPr>
                  <w:rStyle w:val="Hyperlink"/>
                  <w:rFonts w:ascii="Tahoma" w:hAnsi="Tahoma" w:cs="Tahoma"/>
                  <w:sz w:val="20"/>
                </w:rPr>
                <w:t xml:space="preserve">Minutes </w:t>
              </w:r>
              <w:r>
                <w:rPr>
                  <w:rStyle w:val="Hyperlink"/>
                  <w:rFonts w:ascii="Tahoma" w:hAnsi="Tahoma" w:cs="Tahoma"/>
                  <w:sz w:val="20"/>
                </w:rPr>
                <w:t>4.13.21</w:t>
              </w:r>
            </w:hyperlink>
          </w:p>
        </w:tc>
      </w:tr>
      <w:tr w:rsidR="00C87FAB" w14:paraId="0E450DB6" w14:textId="77777777" w:rsidTr="005777C3">
        <w:trPr>
          <w:trHeight w:val="2420"/>
        </w:trPr>
        <w:tc>
          <w:tcPr>
            <w:tcW w:w="2155" w:type="dxa"/>
            <w:vAlign w:val="center"/>
          </w:tcPr>
          <w:p w14:paraId="3E282BB1" w14:textId="2710F036" w:rsidR="00C87FAB" w:rsidRPr="009B485F" w:rsidRDefault="00C87FAB" w:rsidP="00FB0752">
            <w:pPr>
              <w:jc w:val="center"/>
              <w:rPr>
                <w:rFonts w:asciiTheme="majorHAnsi" w:eastAsia="Tahoma" w:hAnsiTheme="majorHAnsi" w:cstheme="majorHAnsi"/>
                <w:b/>
                <w:sz w:val="24"/>
              </w:rPr>
            </w:pPr>
            <w:r w:rsidRPr="009B485F">
              <w:rPr>
                <w:rFonts w:asciiTheme="majorHAnsi" w:eastAsia="Tahoma" w:hAnsiTheme="majorHAnsi" w:cstheme="majorHAnsi"/>
                <w:b/>
                <w:sz w:val="24"/>
              </w:rPr>
              <w:t>2.</w:t>
            </w:r>
            <w:r w:rsidRPr="009B485F">
              <w:rPr>
                <w:rFonts w:asciiTheme="majorHAnsi" w:eastAsia="Arial" w:hAnsiTheme="majorHAnsi" w:cstheme="majorHAnsi"/>
                <w:b/>
                <w:sz w:val="24"/>
              </w:rPr>
              <w:t xml:space="preserve"> </w:t>
            </w:r>
            <w:r w:rsidR="00FB0752">
              <w:rPr>
                <w:rFonts w:asciiTheme="majorHAnsi" w:eastAsia="Arial" w:hAnsiTheme="majorHAnsi" w:cstheme="majorHAnsi"/>
                <w:b/>
                <w:sz w:val="24"/>
              </w:rPr>
              <w:t xml:space="preserve">Presentation on </w:t>
            </w:r>
            <w:hyperlink r:id="rId9" w:history="1">
              <w:r w:rsidR="00FB0752" w:rsidRPr="001B4EEB">
                <w:rPr>
                  <w:rStyle w:val="Hyperlink"/>
                  <w:rFonts w:asciiTheme="majorHAnsi" w:eastAsia="Arial" w:hAnsiTheme="majorHAnsi" w:cstheme="majorHAnsi"/>
                  <w:b/>
                  <w:sz w:val="24"/>
                </w:rPr>
                <w:t>School of Continuing Education (SCE) Research Plan Noncredit Impact on the Student-Centered Funding Formula</w:t>
              </w:r>
            </w:hyperlink>
          </w:p>
        </w:tc>
        <w:tc>
          <w:tcPr>
            <w:tcW w:w="6930" w:type="dxa"/>
          </w:tcPr>
          <w:p w14:paraId="4DBDC94E" w14:textId="71D8AC3B" w:rsidR="00455488" w:rsidRDefault="00853533" w:rsidP="00A15933">
            <w:pPr>
              <w:spacing w:after="160" w:line="259" w:lineRule="auto"/>
              <w:rPr>
                <w:rFonts w:asciiTheme="majorHAnsi" w:hAnsiTheme="majorHAnsi" w:cstheme="majorHAnsi"/>
                <w:sz w:val="24"/>
                <w:szCs w:val="24"/>
              </w:rPr>
            </w:pPr>
            <w:r>
              <w:rPr>
                <w:rFonts w:asciiTheme="majorHAnsi" w:hAnsiTheme="majorHAnsi" w:cstheme="majorHAnsi"/>
                <w:sz w:val="24"/>
                <w:szCs w:val="24"/>
              </w:rPr>
              <w:t>Lesley Johnson and Shannon Rider</w:t>
            </w:r>
            <w:r w:rsidR="00542DC7">
              <w:rPr>
                <w:rFonts w:asciiTheme="majorHAnsi" w:hAnsiTheme="majorHAnsi" w:cstheme="majorHAnsi"/>
                <w:sz w:val="24"/>
                <w:szCs w:val="24"/>
              </w:rPr>
              <w:t xml:space="preserve"> present</w:t>
            </w:r>
            <w:r w:rsidR="000809EC">
              <w:rPr>
                <w:rFonts w:asciiTheme="majorHAnsi" w:hAnsiTheme="majorHAnsi" w:cstheme="majorHAnsi"/>
                <w:sz w:val="24"/>
                <w:szCs w:val="24"/>
              </w:rPr>
              <w:t xml:space="preserve">ed </w:t>
            </w:r>
            <w:r w:rsidR="00542DC7">
              <w:rPr>
                <w:rFonts w:asciiTheme="majorHAnsi" w:hAnsiTheme="majorHAnsi" w:cstheme="majorHAnsi"/>
                <w:sz w:val="24"/>
                <w:szCs w:val="24"/>
              </w:rPr>
              <w:t>on</w:t>
            </w:r>
            <w:r w:rsidR="00296B49">
              <w:rPr>
                <w:rFonts w:asciiTheme="majorHAnsi" w:hAnsiTheme="majorHAnsi" w:cstheme="majorHAnsi"/>
                <w:sz w:val="24"/>
                <w:szCs w:val="24"/>
              </w:rPr>
              <w:t xml:space="preserve"> a</w:t>
            </w:r>
            <w:r w:rsidR="00FF64DA">
              <w:rPr>
                <w:rFonts w:asciiTheme="majorHAnsi" w:hAnsiTheme="majorHAnsi" w:cstheme="majorHAnsi"/>
                <w:sz w:val="24"/>
                <w:szCs w:val="24"/>
              </w:rPr>
              <w:t xml:space="preserve"> School of Continuing Education (SCE)</w:t>
            </w:r>
            <w:r w:rsidR="00A01927">
              <w:rPr>
                <w:rFonts w:asciiTheme="majorHAnsi" w:hAnsiTheme="majorHAnsi" w:cstheme="majorHAnsi"/>
                <w:sz w:val="24"/>
                <w:szCs w:val="24"/>
              </w:rPr>
              <w:t xml:space="preserve"> report </w:t>
            </w:r>
            <w:r w:rsidR="00FF64DA">
              <w:rPr>
                <w:rFonts w:asciiTheme="majorHAnsi" w:hAnsiTheme="majorHAnsi" w:cstheme="majorHAnsi"/>
                <w:sz w:val="24"/>
                <w:szCs w:val="24"/>
              </w:rPr>
              <w:t>regarding noncredit impact on the student-centered funding formula</w:t>
            </w:r>
            <w:r w:rsidR="00A01927">
              <w:rPr>
                <w:rFonts w:asciiTheme="majorHAnsi" w:hAnsiTheme="majorHAnsi" w:cstheme="majorHAnsi"/>
                <w:sz w:val="24"/>
                <w:szCs w:val="24"/>
              </w:rPr>
              <w:t>.</w:t>
            </w:r>
            <w:r w:rsidR="00895F0C">
              <w:rPr>
                <w:rFonts w:asciiTheme="majorHAnsi" w:hAnsiTheme="majorHAnsi" w:cstheme="majorHAnsi"/>
                <w:sz w:val="24"/>
                <w:szCs w:val="24"/>
              </w:rPr>
              <w:t xml:space="preserve"> The report highlighted</w:t>
            </w:r>
            <w:r>
              <w:rPr>
                <w:rFonts w:asciiTheme="majorHAnsi" w:hAnsiTheme="majorHAnsi" w:cstheme="majorHAnsi"/>
                <w:sz w:val="24"/>
                <w:szCs w:val="24"/>
              </w:rPr>
              <w:t xml:space="preserve"> enrollment</w:t>
            </w:r>
            <w:r w:rsidR="00895F0C">
              <w:rPr>
                <w:rFonts w:asciiTheme="majorHAnsi" w:hAnsiTheme="majorHAnsi" w:cstheme="majorHAnsi"/>
                <w:sz w:val="24"/>
                <w:szCs w:val="24"/>
              </w:rPr>
              <w:t xml:space="preserve"> trends</w:t>
            </w:r>
            <w:r w:rsidR="00A85CDF">
              <w:rPr>
                <w:rFonts w:asciiTheme="majorHAnsi" w:hAnsiTheme="majorHAnsi" w:cstheme="majorHAnsi"/>
                <w:sz w:val="24"/>
                <w:szCs w:val="24"/>
              </w:rPr>
              <w:t xml:space="preserve"> and retention</w:t>
            </w:r>
            <w:r w:rsidR="00887F97">
              <w:rPr>
                <w:rFonts w:asciiTheme="majorHAnsi" w:hAnsiTheme="majorHAnsi" w:cstheme="majorHAnsi"/>
                <w:sz w:val="24"/>
                <w:szCs w:val="24"/>
              </w:rPr>
              <w:t xml:space="preserve"> in Summer and Fall 2019 and 2020</w:t>
            </w:r>
            <w:r w:rsidR="00A85CDF">
              <w:rPr>
                <w:rFonts w:asciiTheme="majorHAnsi" w:hAnsiTheme="majorHAnsi" w:cstheme="majorHAnsi"/>
                <w:sz w:val="24"/>
                <w:szCs w:val="24"/>
              </w:rPr>
              <w:t xml:space="preserve">. </w:t>
            </w:r>
            <w:r w:rsidR="00542DC7">
              <w:rPr>
                <w:rFonts w:asciiTheme="majorHAnsi" w:hAnsiTheme="majorHAnsi" w:cstheme="majorHAnsi"/>
                <w:sz w:val="24"/>
                <w:szCs w:val="24"/>
              </w:rPr>
              <w:t>T</w:t>
            </w:r>
            <w:r w:rsidR="00D2388A">
              <w:rPr>
                <w:rFonts w:asciiTheme="majorHAnsi" w:hAnsiTheme="majorHAnsi" w:cstheme="majorHAnsi"/>
                <w:sz w:val="24"/>
                <w:szCs w:val="24"/>
              </w:rPr>
              <w:t>he first section of this report</w:t>
            </w:r>
            <w:r w:rsidR="00542DC7">
              <w:rPr>
                <w:rFonts w:asciiTheme="majorHAnsi" w:hAnsiTheme="majorHAnsi" w:cstheme="majorHAnsi"/>
                <w:sz w:val="24"/>
                <w:szCs w:val="24"/>
              </w:rPr>
              <w:t xml:space="preserve"> </w:t>
            </w:r>
            <w:r w:rsidR="00124690">
              <w:rPr>
                <w:rFonts w:asciiTheme="majorHAnsi" w:hAnsiTheme="majorHAnsi" w:cstheme="majorHAnsi"/>
                <w:sz w:val="24"/>
                <w:szCs w:val="24"/>
              </w:rPr>
              <w:t>compares FTE’s</w:t>
            </w:r>
            <w:r w:rsidR="00542DC7">
              <w:rPr>
                <w:rFonts w:asciiTheme="majorHAnsi" w:hAnsiTheme="majorHAnsi" w:cstheme="majorHAnsi"/>
                <w:sz w:val="24"/>
                <w:szCs w:val="24"/>
              </w:rPr>
              <w:t xml:space="preserve"> between S</w:t>
            </w:r>
            <w:r w:rsidR="00D2388A">
              <w:rPr>
                <w:rFonts w:asciiTheme="majorHAnsi" w:hAnsiTheme="majorHAnsi" w:cstheme="majorHAnsi"/>
                <w:sz w:val="24"/>
                <w:szCs w:val="24"/>
              </w:rPr>
              <w:t>ummer and Fall semesters</w:t>
            </w:r>
            <w:r w:rsidR="00124690">
              <w:rPr>
                <w:rFonts w:asciiTheme="majorHAnsi" w:hAnsiTheme="majorHAnsi" w:cstheme="majorHAnsi"/>
                <w:sz w:val="24"/>
                <w:szCs w:val="24"/>
              </w:rPr>
              <w:t xml:space="preserve">. </w:t>
            </w:r>
            <w:r w:rsidR="00596764">
              <w:rPr>
                <w:rFonts w:asciiTheme="majorHAnsi" w:hAnsiTheme="majorHAnsi" w:cstheme="majorHAnsi"/>
                <w:sz w:val="24"/>
                <w:szCs w:val="24"/>
              </w:rPr>
              <w:t>Programs such as High School Equivalency, High School Referral and Adult Diploma in SCE saw growth in</w:t>
            </w:r>
            <w:r w:rsidR="00F3732B">
              <w:rPr>
                <w:rFonts w:asciiTheme="majorHAnsi" w:hAnsiTheme="majorHAnsi" w:cstheme="majorHAnsi"/>
                <w:sz w:val="24"/>
                <w:szCs w:val="24"/>
              </w:rPr>
              <w:t xml:space="preserve"> headcount</w:t>
            </w:r>
            <w:r w:rsidR="00596764">
              <w:rPr>
                <w:rFonts w:asciiTheme="majorHAnsi" w:hAnsiTheme="majorHAnsi" w:cstheme="majorHAnsi"/>
                <w:sz w:val="24"/>
                <w:szCs w:val="24"/>
              </w:rPr>
              <w:t>.</w:t>
            </w:r>
            <w:r w:rsidR="00A01927">
              <w:rPr>
                <w:rFonts w:asciiTheme="majorHAnsi" w:hAnsiTheme="majorHAnsi" w:cstheme="majorHAnsi"/>
                <w:sz w:val="24"/>
                <w:szCs w:val="24"/>
              </w:rPr>
              <w:t xml:space="preserve"> </w:t>
            </w:r>
            <w:r w:rsidR="00CC62DC">
              <w:rPr>
                <w:rFonts w:asciiTheme="majorHAnsi" w:hAnsiTheme="majorHAnsi" w:cstheme="majorHAnsi"/>
                <w:sz w:val="24"/>
                <w:szCs w:val="24"/>
              </w:rPr>
              <w:t xml:space="preserve">In looking at students who transitioned from noncredit to credit, the following programs showed the highest level of transition </w:t>
            </w:r>
            <w:r w:rsidR="00A01927">
              <w:rPr>
                <w:rFonts w:asciiTheme="majorHAnsi" w:hAnsiTheme="majorHAnsi" w:cstheme="majorHAnsi"/>
                <w:sz w:val="24"/>
                <w:szCs w:val="24"/>
              </w:rPr>
              <w:t>High Sch</w:t>
            </w:r>
            <w:r w:rsidR="00CC62DC">
              <w:rPr>
                <w:rFonts w:asciiTheme="majorHAnsi" w:hAnsiTheme="majorHAnsi" w:cstheme="majorHAnsi"/>
                <w:sz w:val="24"/>
                <w:szCs w:val="24"/>
              </w:rPr>
              <w:t xml:space="preserve">ool Referral, </w:t>
            </w:r>
            <w:r w:rsidR="00701C8A">
              <w:rPr>
                <w:rFonts w:asciiTheme="majorHAnsi" w:hAnsiTheme="majorHAnsi" w:cstheme="majorHAnsi"/>
                <w:sz w:val="24"/>
                <w:szCs w:val="24"/>
              </w:rPr>
              <w:t>Short Term Vocational Mirrored (STV)</w:t>
            </w:r>
            <w:r w:rsidR="00CC62DC">
              <w:rPr>
                <w:rFonts w:asciiTheme="majorHAnsi" w:hAnsiTheme="majorHAnsi" w:cstheme="majorHAnsi"/>
                <w:sz w:val="24"/>
                <w:szCs w:val="24"/>
              </w:rPr>
              <w:t>, Vocational English as a Second Language (VESL)</w:t>
            </w:r>
            <w:r w:rsidR="00A01927">
              <w:rPr>
                <w:rFonts w:asciiTheme="majorHAnsi" w:hAnsiTheme="majorHAnsi" w:cstheme="majorHAnsi"/>
                <w:sz w:val="24"/>
                <w:szCs w:val="24"/>
              </w:rPr>
              <w:t xml:space="preserve">, and </w:t>
            </w:r>
            <w:r w:rsidR="00701C8A">
              <w:rPr>
                <w:rFonts w:asciiTheme="majorHAnsi" w:hAnsiTheme="majorHAnsi" w:cstheme="majorHAnsi"/>
                <w:sz w:val="24"/>
                <w:szCs w:val="24"/>
              </w:rPr>
              <w:t>Short Term Vocational Health</w:t>
            </w:r>
            <w:r w:rsidR="00A01927">
              <w:rPr>
                <w:rFonts w:asciiTheme="majorHAnsi" w:hAnsiTheme="majorHAnsi" w:cstheme="majorHAnsi"/>
                <w:sz w:val="24"/>
                <w:szCs w:val="24"/>
              </w:rPr>
              <w:t xml:space="preserve">. </w:t>
            </w:r>
            <w:r w:rsidR="00877785">
              <w:rPr>
                <w:rFonts w:asciiTheme="majorHAnsi" w:hAnsiTheme="majorHAnsi" w:cstheme="majorHAnsi"/>
                <w:sz w:val="24"/>
                <w:szCs w:val="24"/>
              </w:rPr>
              <w:t>Lesley mentioned SCE plans for the future that include the following:</w:t>
            </w:r>
          </w:p>
          <w:p w14:paraId="1D79C571" w14:textId="4B3C5F77" w:rsidR="00455488" w:rsidRDefault="00AD79A6" w:rsidP="00455488">
            <w:pPr>
              <w:pStyle w:val="ListParagraph"/>
              <w:numPr>
                <w:ilvl w:val="0"/>
                <w:numId w:val="11"/>
              </w:numPr>
              <w:rPr>
                <w:rFonts w:asciiTheme="majorHAnsi" w:hAnsiTheme="majorHAnsi" w:cstheme="majorHAnsi"/>
                <w:sz w:val="24"/>
                <w:szCs w:val="24"/>
              </w:rPr>
            </w:pPr>
            <w:r w:rsidRPr="00455488">
              <w:rPr>
                <w:rFonts w:asciiTheme="majorHAnsi" w:hAnsiTheme="majorHAnsi" w:cstheme="majorHAnsi"/>
                <w:sz w:val="24"/>
                <w:szCs w:val="24"/>
              </w:rPr>
              <w:lastRenderedPageBreak/>
              <w:t>Maintain a post-COVID level of at least 20% distance education o</w:t>
            </w:r>
            <w:r w:rsidR="009F607B">
              <w:rPr>
                <w:rFonts w:asciiTheme="majorHAnsi" w:hAnsiTheme="majorHAnsi" w:cstheme="majorHAnsi"/>
                <w:sz w:val="24"/>
                <w:szCs w:val="24"/>
              </w:rPr>
              <w:t>fferings for noncredit programs</w:t>
            </w:r>
            <w:r w:rsidR="005F491A">
              <w:rPr>
                <w:rFonts w:asciiTheme="majorHAnsi" w:hAnsiTheme="majorHAnsi" w:cstheme="majorHAnsi"/>
                <w:sz w:val="24"/>
                <w:szCs w:val="24"/>
              </w:rPr>
              <w:t xml:space="preserve"> -</w:t>
            </w:r>
            <w:r w:rsidR="000D5A30">
              <w:rPr>
                <w:rFonts w:asciiTheme="majorHAnsi" w:hAnsiTheme="majorHAnsi" w:cstheme="majorHAnsi"/>
                <w:sz w:val="24"/>
                <w:szCs w:val="24"/>
              </w:rPr>
              <w:t xml:space="preserve"> </w:t>
            </w:r>
            <w:r w:rsidR="00455488" w:rsidRPr="00455488">
              <w:rPr>
                <w:rFonts w:asciiTheme="majorHAnsi" w:hAnsiTheme="majorHAnsi" w:cstheme="majorHAnsi"/>
                <w:sz w:val="24"/>
                <w:szCs w:val="24"/>
              </w:rPr>
              <w:t xml:space="preserve">certain programs flourished in a </w:t>
            </w:r>
            <w:r w:rsidR="00451590">
              <w:rPr>
                <w:rFonts w:asciiTheme="majorHAnsi" w:hAnsiTheme="majorHAnsi" w:cstheme="majorHAnsi"/>
                <w:sz w:val="24"/>
                <w:szCs w:val="24"/>
              </w:rPr>
              <w:t>distance-</w:t>
            </w:r>
            <w:r w:rsidR="009F607B">
              <w:rPr>
                <w:rFonts w:asciiTheme="majorHAnsi" w:hAnsiTheme="majorHAnsi" w:cstheme="majorHAnsi"/>
                <w:sz w:val="24"/>
                <w:szCs w:val="24"/>
              </w:rPr>
              <w:t>learning environment</w:t>
            </w:r>
            <w:r w:rsidR="00455488" w:rsidRPr="00455488">
              <w:rPr>
                <w:rFonts w:asciiTheme="majorHAnsi" w:hAnsiTheme="majorHAnsi" w:cstheme="majorHAnsi"/>
                <w:sz w:val="24"/>
                <w:szCs w:val="24"/>
              </w:rPr>
              <w:t xml:space="preserve">. </w:t>
            </w:r>
          </w:p>
          <w:p w14:paraId="6FDF5D77" w14:textId="69526600" w:rsidR="00455488" w:rsidRDefault="00455488" w:rsidP="00455488">
            <w:pPr>
              <w:rPr>
                <w:rFonts w:asciiTheme="majorHAnsi" w:hAnsiTheme="majorHAnsi" w:cstheme="majorHAnsi"/>
                <w:sz w:val="24"/>
                <w:szCs w:val="24"/>
              </w:rPr>
            </w:pPr>
          </w:p>
          <w:p w14:paraId="41D0EEEA" w14:textId="28FADC1F" w:rsidR="000D5A30" w:rsidRPr="000D5A30" w:rsidRDefault="00AD79A6" w:rsidP="000D5A30">
            <w:pPr>
              <w:pStyle w:val="ListParagraph"/>
              <w:numPr>
                <w:ilvl w:val="0"/>
                <w:numId w:val="11"/>
              </w:numPr>
              <w:rPr>
                <w:rFonts w:asciiTheme="majorHAnsi" w:hAnsiTheme="majorHAnsi" w:cstheme="majorHAnsi"/>
                <w:sz w:val="24"/>
                <w:szCs w:val="24"/>
              </w:rPr>
            </w:pPr>
            <w:r w:rsidRPr="000D5A30">
              <w:rPr>
                <w:rFonts w:asciiTheme="majorHAnsi" w:hAnsiTheme="majorHAnsi" w:cstheme="majorHAnsi"/>
                <w:sz w:val="24"/>
                <w:szCs w:val="24"/>
              </w:rPr>
              <w:t>Improve and modify recruitme</w:t>
            </w:r>
            <w:r w:rsidR="005F491A">
              <w:rPr>
                <w:rFonts w:asciiTheme="majorHAnsi" w:hAnsiTheme="majorHAnsi" w:cstheme="majorHAnsi"/>
                <w:sz w:val="24"/>
                <w:szCs w:val="24"/>
              </w:rPr>
              <w:t>nt and outreach plans to retain</w:t>
            </w:r>
            <w:r w:rsidRPr="000D5A30">
              <w:rPr>
                <w:rFonts w:asciiTheme="majorHAnsi" w:hAnsiTheme="majorHAnsi" w:cstheme="majorHAnsi"/>
                <w:sz w:val="24"/>
                <w:szCs w:val="24"/>
              </w:rPr>
              <w:t xml:space="preserve"> and identify new SCE students</w:t>
            </w:r>
            <w:r w:rsidR="000D5A30" w:rsidRPr="000D5A30">
              <w:rPr>
                <w:rFonts w:asciiTheme="majorHAnsi" w:hAnsiTheme="majorHAnsi" w:cstheme="majorHAnsi"/>
                <w:sz w:val="24"/>
                <w:szCs w:val="24"/>
              </w:rPr>
              <w:t>’</w:t>
            </w:r>
            <w:r w:rsidRPr="000D5A30">
              <w:rPr>
                <w:rFonts w:asciiTheme="majorHAnsi" w:hAnsiTheme="majorHAnsi" w:cstheme="majorHAnsi"/>
                <w:sz w:val="24"/>
                <w:szCs w:val="24"/>
              </w:rPr>
              <w:t xml:space="preserve"> post-COVID (SOS, online interactive orientation, embedded support website update, marke</w:t>
            </w:r>
            <w:r w:rsidR="009F607B">
              <w:rPr>
                <w:rFonts w:asciiTheme="majorHAnsi" w:hAnsiTheme="majorHAnsi" w:cstheme="majorHAnsi"/>
                <w:sz w:val="24"/>
                <w:szCs w:val="24"/>
              </w:rPr>
              <w:t>ting plan and campaign).</w:t>
            </w:r>
            <w:r w:rsidR="00116E46" w:rsidRPr="000D5A30">
              <w:rPr>
                <w:rFonts w:asciiTheme="majorHAnsi" w:hAnsiTheme="majorHAnsi" w:cstheme="majorHAnsi"/>
                <w:sz w:val="24"/>
                <w:szCs w:val="24"/>
              </w:rPr>
              <w:t xml:space="preserve"> </w:t>
            </w:r>
            <w:r w:rsidR="000D5A30" w:rsidRPr="000D5A30">
              <w:rPr>
                <w:rFonts w:asciiTheme="majorHAnsi" w:hAnsiTheme="majorHAnsi" w:cstheme="majorHAnsi"/>
                <w:sz w:val="24"/>
                <w:szCs w:val="24"/>
              </w:rPr>
              <w:t>A retention effort that SCE will undertake is to reac</w:t>
            </w:r>
            <w:r w:rsidR="00952BE8">
              <w:rPr>
                <w:rFonts w:asciiTheme="majorHAnsi" w:hAnsiTheme="majorHAnsi" w:cstheme="majorHAnsi"/>
                <w:sz w:val="24"/>
                <w:szCs w:val="24"/>
              </w:rPr>
              <w:t>h out to students via phone</w:t>
            </w:r>
            <w:r w:rsidR="000D5A30" w:rsidRPr="000D5A30">
              <w:rPr>
                <w:rFonts w:asciiTheme="majorHAnsi" w:hAnsiTheme="majorHAnsi" w:cstheme="majorHAnsi"/>
                <w:sz w:val="24"/>
                <w:szCs w:val="24"/>
              </w:rPr>
              <w:t xml:space="preserve"> and ask them </w:t>
            </w:r>
            <w:r w:rsidR="00952BE8">
              <w:rPr>
                <w:rFonts w:asciiTheme="majorHAnsi" w:hAnsiTheme="majorHAnsi" w:cstheme="majorHAnsi"/>
                <w:sz w:val="24"/>
                <w:szCs w:val="24"/>
              </w:rPr>
              <w:t xml:space="preserve">why </w:t>
            </w:r>
            <w:r w:rsidR="000D5A30" w:rsidRPr="000D5A30">
              <w:rPr>
                <w:rFonts w:asciiTheme="majorHAnsi" w:hAnsiTheme="majorHAnsi" w:cstheme="majorHAnsi"/>
                <w:sz w:val="24"/>
                <w:szCs w:val="24"/>
              </w:rPr>
              <w:t xml:space="preserve">they were unable to continue </w:t>
            </w:r>
            <w:r w:rsidR="00952BE8">
              <w:rPr>
                <w:rFonts w:asciiTheme="majorHAnsi" w:hAnsiTheme="majorHAnsi" w:cstheme="majorHAnsi"/>
                <w:sz w:val="24"/>
                <w:szCs w:val="24"/>
              </w:rPr>
              <w:t xml:space="preserve">with </w:t>
            </w:r>
            <w:r w:rsidR="000D5A30" w:rsidRPr="000D5A30">
              <w:rPr>
                <w:rFonts w:asciiTheme="majorHAnsi" w:hAnsiTheme="majorHAnsi" w:cstheme="majorHAnsi"/>
                <w:sz w:val="24"/>
                <w:szCs w:val="24"/>
              </w:rPr>
              <w:t xml:space="preserve">their education. </w:t>
            </w:r>
            <w:r w:rsidR="00DF4265">
              <w:rPr>
                <w:rFonts w:asciiTheme="majorHAnsi" w:hAnsiTheme="majorHAnsi" w:cstheme="majorHAnsi"/>
                <w:sz w:val="24"/>
                <w:szCs w:val="24"/>
              </w:rPr>
              <w:t>The intent is</w:t>
            </w:r>
            <w:r w:rsidR="0035214A">
              <w:rPr>
                <w:rFonts w:asciiTheme="majorHAnsi" w:hAnsiTheme="majorHAnsi" w:cstheme="majorHAnsi"/>
                <w:sz w:val="24"/>
                <w:szCs w:val="24"/>
              </w:rPr>
              <w:t xml:space="preserve"> to have students re-enroll.</w:t>
            </w:r>
          </w:p>
          <w:p w14:paraId="20941454" w14:textId="3C0C4961" w:rsidR="000D5A30" w:rsidRPr="000D5A30" w:rsidRDefault="000D5A30" w:rsidP="000D5A30">
            <w:pPr>
              <w:pStyle w:val="ListParagraph"/>
              <w:rPr>
                <w:rFonts w:asciiTheme="majorHAnsi" w:hAnsiTheme="majorHAnsi" w:cstheme="majorHAnsi"/>
                <w:sz w:val="24"/>
                <w:szCs w:val="24"/>
              </w:rPr>
            </w:pPr>
          </w:p>
          <w:p w14:paraId="20ABB99D" w14:textId="5114B127" w:rsidR="001F3696" w:rsidRDefault="00A15933" w:rsidP="00F352B2">
            <w:pPr>
              <w:pStyle w:val="ListParagraph"/>
              <w:numPr>
                <w:ilvl w:val="0"/>
                <w:numId w:val="11"/>
              </w:numPr>
              <w:rPr>
                <w:rFonts w:asciiTheme="majorHAnsi" w:hAnsiTheme="majorHAnsi" w:cstheme="majorHAnsi"/>
                <w:sz w:val="24"/>
                <w:szCs w:val="24"/>
              </w:rPr>
            </w:pPr>
            <w:r w:rsidRPr="008621EE">
              <w:rPr>
                <w:rFonts w:asciiTheme="majorHAnsi" w:hAnsiTheme="majorHAnsi" w:cstheme="majorHAnsi"/>
                <w:sz w:val="24"/>
                <w:szCs w:val="24"/>
              </w:rPr>
              <w:t xml:space="preserve">Guided by the SCE Equity Leadership workgroup, ensure that student voices are </w:t>
            </w:r>
            <w:r w:rsidR="00E523EF">
              <w:rPr>
                <w:rFonts w:asciiTheme="majorHAnsi" w:hAnsiTheme="majorHAnsi" w:cstheme="majorHAnsi"/>
                <w:sz w:val="24"/>
                <w:szCs w:val="24"/>
              </w:rPr>
              <w:t>included</w:t>
            </w:r>
            <w:r w:rsidR="009F607B" w:rsidRPr="008621EE">
              <w:rPr>
                <w:rFonts w:asciiTheme="majorHAnsi" w:hAnsiTheme="majorHAnsi" w:cstheme="majorHAnsi"/>
                <w:sz w:val="24"/>
                <w:szCs w:val="24"/>
              </w:rPr>
              <w:t xml:space="preserve"> across programs.</w:t>
            </w:r>
            <w:r w:rsidR="001F3696" w:rsidRPr="008621EE">
              <w:rPr>
                <w:rFonts w:asciiTheme="majorHAnsi" w:hAnsiTheme="majorHAnsi" w:cstheme="majorHAnsi"/>
                <w:sz w:val="24"/>
                <w:szCs w:val="24"/>
              </w:rPr>
              <w:t xml:space="preserve"> SCE</w:t>
            </w:r>
            <w:r w:rsidR="008621EE" w:rsidRPr="008621EE">
              <w:rPr>
                <w:rFonts w:asciiTheme="majorHAnsi" w:hAnsiTheme="majorHAnsi" w:cstheme="majorHAnsi"/>
                <w:sz w:val="24"/>
                <w:szCs w:val="24"/>
              </w:rPr>
              <w:t xml:space="preserve"> is committed to support all student and at looking at data where SCE can grow.</w:t>
            </w:r>
            <w:r w:rsidR="001F3696" w:rsidRPr="008621EE">
              <w:rPr>
                <w:rFonts w:asciiTheme="majorHAnsi" w:hAnsiTheme="majorHAnsi" w:cstheme="majorHAnsi"/>
                <w:sz w:val="24"/>
                <w:szCs w:val="24"/>
              </w:rPr>
              <w:t xml:space="preserve"> </w:t>
            </w:r>
          </w:p>
          <w:p w14:paraId="5144D767" w14:textId="2FD7C48E" w:rsidR="008621EE" w:rsidRPr="008621EE" w:rsidRDefault="008621EE" w:rsidP="008621EE">
            <w:pPr>
              <w:rPr>
                <w:rFonts w:asciiTheme="majorHAnsi" w:hAnsiTheme="majorHAnsi" w:cstheme="majorHAnsi"/>
                <w:sz w:val="24"/>
                <w:szCs w:val="24"/>
              </w:rPr>
            </w:pPr>
          </w:p>
          <w:p w14:paraId="0CD49B9A" w14:textId="163E82C9" w:rsidR="001F3696" w:rsidRPr="001F3696" w:rsidRDefault="001F3696" w:rsidP="001F3696">
            <w:pPr>
              <w:pStyle w:val="ListParagraph"/>
              <w:numPr>
                <w:ilvl w:val="0"/>
                <w:numId w:val="11"/>
              </w:numPr>
              <w:rPr>
                <w:rFonts w:asciiTheme="majorHAnsi" w:hAnsiTheme="majorHAnsi" w:cstheme="majorHAnsi"/>
                <w:sz w:val="24"/>
                <w:szCs w:val="24"/>
              </w:rPr>
            </w:pPr>
            <w:r>
              <w:rPr>
                <w:rFonts w:asciiTheme="majorHAnsi" w:hAnsiTheme="majorHAnsi" w:cstheme="majorHAnsi"/>
                <w:sz w:val="24"/>
                <w:szCs w:val="24"/>
              </w:rPr>
              <w:t xml:space="preserve"> Establish process</w:t>
            </w:r>
            <w:r w:rsidR="008335C1">
              <w:rPr>
                <w:rFonts w:asciiTheme="majorHAnsi" w:hAnsiTheme="majorHAnsi" w:cstheme="majorHAnsi"/>
                <w:sz w:val="24"/>
                <w:szCs w:val="24"/>
              </w:rPr>
              <w:t>es</w:t>
            </w:r>
            <w:r>
              <w:rPr>
                <w:rFonts w:asciiTheme="majorHAnsi" w:hAnsiTheme="majorHAnsi" w:cstheme="majorHAnsi"/>
                <w:sz w:val="24"/>
                <w:szCs w:val="24"/>
              </w:rPr>
              <w:t xml:space="preserve"> with campus partners for adult education special admit and undocumented students for credit transition with the least amount of barriers</w:t>
            </w:r>
            <w:r w:rsidR="001B0159">
              <w:rPr>
                <w:rFonts w:asciiTheme="majorHAnsi" w:hAnsiTheme="majorHAnsi" w:cstheme="majorHAnsi"/>
                <w:sz w:val="24"/>
                <w:szCs w:val="24"/>
              </w:rPr>
              <w:t>.</w:t>
            </w:r>
            <w:r w:rsidR="008335C1">
              <w:rPr>
                <w:rFonts w:asciiTheme="majorHAnsi" w:hAnsiTheme="majorHAnsi" w:cstheme="majorHAnsi"/>
                <w:sz w:val="24"/>
                <w:szCs w:val="24"/>
              </w:rPr>
              <w:t xml:space="preserve"> </w:t>
            </w:r>
            <w:r w:rsidRPr="000D5A30">
              <w:rPr>
                <w:rFonts w:asciiTheme="majorHAnsi" w:hAnsiTheme="majorHAnsi" w:cstheme="majorHAnsi"/>
                <w:sz w:val="24"/>
                <w:szCs w:val="24"/>
              </w:rPr>
              <w:t>New legislatio</w:t>
            </w:r>
            <w:r w:rsidR="00535AD5">
              <w:rPr>
                <w:rFonts w:asciiTheme="majorHAnsi" w:hAnsiTheme="majorHAnsi" w:cstheme="majorHAnsi"/>
                <w:sz w:val="24"/>
                <w:szCs w:val="24"/>
              </w:rPr>
              <w:t xml:space="preserve">n for adult basic students </w:t>
            </w:r>
            <w:r w:rsidRPr="000D5A30">
              <w:rPr>
                <w:rFonts w:asciiTheme="majorHAnsi" w:hAnsiTheme="majorHAnsi" w:cstheme="majorHAnsi"/>
                <w:sz w:val="24"/>
                <w:szCs w:val="24"/>
              </w:rPr>
              <w:t>states that any student who is enrolled in a</w:t>
            </w:r>
            <w:r w:rsidR="00535AD5">
              <w:rPr>
                <w:rFonts w:asciiTheme="majorHAnsi" w:hAnsiTheme="majorHAnsi" w:cstheme="majorHAnsi"/>
                <w:sz w:val="24"/>
                <w:szCs w:val="24"/>
              </w:rPr>
              <w:t>n</w:t>
            </w:r>
            <w:r w:rsidRPr="000D5A30">
              <w:rPr>
                <w:rFonts w:asciiTheme="majorHAnsi" w:hAnsiTheme="majorHAnsi" w:cstheme="majorHAnsi"/>
                <w:sz w:val="24"/>
                <w:szCs w:val="24"/>
              </w:rPr>
              <w:t xml:space="preserve"> adult education program (ABE, High School </w:t>
            </w:r>
            <w:r w:rsidR="00104FCE">
              <w:rPr>
                <w:rFonts w:asciiTheme="majorHAnsi" w:hAnsiTheme="majorHAnsi" w:cstheme="majorHAnsi"/>
                <w:sz w:val="24"/>
                <w:szCs w:val="24"/>
              </w:rPr>
              <w:t xml:space="preserve">Diploma or High School </w:t>
            </w:r>
            <w:r w:rsidRPr="000D5A30">
              <w:rPr>
                <w:rFonts w:asciiTheme="majorHAnsi" w:hAnsiTheme="majorHAnsi" w:cstheme="majorHAnsi"/>
                <w:sz w:val="24"/>
                <w:szCs w:val="24"/>
              </w:rPr>
              <w:t xml:space="preserve">Equivalency) can also take credit classes </w:t>
            </w:r>
            <w:proofErr w:type="gramStart"/>
            <w:r w:rsidRPr="000D5A30">
              <w:rPr>
                <w:rFonts w:asciiTheme="majorHAnsi" w:hAnsiTheme="majorHAnsi" w:cstheme="majorHAnsi"/>
                <w:sz w:val="24"/>
                <w:szCs w:val="24"/>
              </w:rPr>
              <w:t xml:space="preserve">for </w:t>
            </w:r>
            <w:bookmarkStart w:id="0" w:name="_GoBack"/>
            <w:bookmarkEnd w:id="0"/>
            <w:r w:rsidRPr="000D5A30">
              <w:rPr>
                <w:rFonts w:asciiTheme="majorHAnsi" w:hAnsiTheme="majorHAnsi" w:cstheme="majorHAnsi"/>
                <w:sz w:val="24"/>
                <w:szCs w:val="24"/>
              </w:rPr>
              <w:t>free</w:t>
            </w:r>
            <w:proofErr w:type="gramEnd"/>
            <w:r w:rsidRPr="000D5A30">
              <w:rPr>
                <w:rFonts w:asciiTheme="majorHAnsi" w:hAnsiTheme="majorHAnsi" w:cstheme="majorHAnsi"/>
                <w:sz w:val="24"/>
                <w:szCs w:val="24"/>
              </w:rPr>
              <w:t xml:space="preserve">, </w:t>
            </w:r>
            <w:r w:rsidR="00014753">
              <w:rPr>
                <w:rFonts w:asciiTheme="majorHAnsi" w:hAnsiTheme="majorHAnsi" w:cstheme="majorHAnsi"/>
                <w:sz w:val="24"/>
                <w:szCs w:val="24"/>
              </w:rPr>
              <w:t xml:space="preserve">and </w:t>
            </w:r>
            <w:r w:rsidRPr="000D5A30">
              <w:rPr>
                <w:rFonts w:asciiTheme="majorHAnsi" w:hAnsiTheme="majorHAnsi" w:cstheme="majorHAnsi"/>
                <w:sz w:val="24"/>
                <w:szCs w:val="24"/>
              </w:rPr>
              <w:t>would be consider a special admit</w:t>
            </w:r>
            <w:r w:rsidR="001B0159">
              <w:rPr>
                <w:rFonts w:asciiTheme="majorHAnsi" w:hAnsiTheme="majorHAnsi" w:cstheme="majorHAnsi"/>
                <w:sz w:val="24"/>
                <w:szCs w:val="24"/>
              </w:rPr>
              <w:t>.</w:t>
            </w:r>
          </w:p>
        </w:tc>
        <w:tc>
          <w:tcPr>
            <w:tcW w:w="5305" w:type="dxa"/>
          </w:tcPr>
          <w:p w14:paraId="0DBD3110" w14:textId="2570AABD" w:rsidR="005A1F05" w:rsidRDefault="00BD3CC2" w:rsidP="005A1F05">
            <w:pPr>
              <w:spacing w:after="160" w:line="259" w:lineRule="auto"/>
              <w:rPr>
                <w:rFonts w:ascii="Tahoma" w:hAnsi="Tahoma" w:cs="Tahoma"/>
                <w:sz w:val="20"/>
              </w:rPr>
            </w:pPr>
            <w:r>
              <w:rPr>
                <w:rFonts w:ascii="Tahoma" w:hAnsi="Tahoma" w:cs="Tahoma"/>
                <w:sz w:val="20"/>
              </w:rPr>
              <w:lastRenderedPageBreak/>
              <w:t>Committee</w:t>
            </w:r>
            <w:r w:rsidR="00455488">
              <w:rPr>
                <w:rFonts w:ascii="Tahoma" w:hAnsi="Tahoma" w:cs="Tahoma"/>
                <w:sz w:val="20"/>
              </w:rPr>
              <w:t xml:space="preserve"> members</w:t>
            </w:r>
            <w:r>
              <w:rPr>
                <w:rFonts w:ascii="Tahoma" w:hAnsi="Tahoma" w:cs="Tahoma"/>
                <w:sz w:val="20"/>
              </w:rPr>
              <w:t xml:space="preserve"> shared the following ideas </w:t>
            </w:r>
            <w:r w:rsidR="00455488">
              <w:rPr>
                <w:rFonts w:ascii="Tahoma" w:hAnsi="Tahoma" w:cs="Tahoma"/>
                <w:sz w:val="20"/>
              </w:rPr>
              <w:t>in regards to School of Continuing Education (SCE) Research P</w:t>
            </w:r>
            <w:r>
              <w:rPr>
                <w:rFonts w:ascii="Tahoma" w:hAnsi="Tahoma" w:cs="Tahoma"/>
                <w:sz w:val="20"/>
              </w:rPr>
              <w:t>l</w:t>
            </w:r>
            <w:r w:rsidR="00455488">
              <w:rPr>
                <w:rFonts w:ascii="Tahoma" w:hAnsi="Tahoma" w:cs="Tahoma"/>
                <w:sz w:val="20"/>
              </w:rPr>
              <w:t>an Noncredit Impact on the Student Centered Funding Formula:</w:t>
            </w:r>
          </w:p>
          <w:p w14:paraId="5B48BC70" w14:textId="4D4A1AE7" w:rsidR="00367D23" w:rsidRDefault="001B0159" w:rsidP="000D5A30">
            <w:pPr>
              <w:numPr>
                <w:ilvl w:val="0"/>
                <w:numId w:val="1"/>
              </w:numPr>
              <w:spacing w:after="160" w:line="259" w:lineRule="auto"/>
              <w:contextualSpacing/>
              <w:rPr>
                <w:rFonts w:ascii="Tahoma" w:hAnsi="Tahoma" w:cs="Tahoma"/>
                <w:sz w:val="20"/>
              </w:rPr>
            </w:pPr>
            <w:r>
              <w:rPr>
                <w:rFonts w:ascii="Tahoma" w:hAnsi="Tahoma" w:cs="Tahoma"/>
                <w:sz w:val="20"/>
              </w:rPr>
              <w:t xml:space="preserve">SCE does a fantastic job at taking a case management approach with their students. They help their students from beginning to </w:t>
            </w:r>
            <w:r w:rsidR="00A57E5C">
              <w:rPr>
                <w:rFonts w:ascii="Tahoma" w:hAnsi="Tahoma" w:cs="Tahoma"/>
                <w:sz w:val="20"/>
              </w:rPr>
              <w:t>end, in or</w:t>
            </w:r>
            <w:r w:rsidR="00466020">
              <w:rPr>
                <w:rFonts w:ascii="Tahoma" w:hAnsi="Tahoma" w:cs="Tahoma"/>
                <w:sz w:val="20"/>
              </w:rPr>
              <w:t>der to avoid sending students</w:t>
            </w:r>
            <w:r>
              <w:rPr>
                <w:rFonts w:ascii="Tahoma" w:hAnsi="Tahoma" w:cs="Tahoma"/>
                <w:sz w:val="20"/>
              </w:rPr>
              <w:t xml:space="preserve"> from one place to another. </w:t>
            </w:r>
          </w:p>
          <w:p w14:paraId="5E242289" w14:textId="77777777" w:rsidR="005502A9" w:rsidRDefault="00F230B4" w:rsidP="000D5A30">
            <w:pPr>
              <w:numPr>
                <w:ilvl w:val="0"/>
                <w:numId w:val="1"/>
              </w:numPr>
              <w:spacing w:after="160" w:line="259" w:lineRule="auto"/>
              <w:contextualSpacing/>
              <w:rPr>
                <w:rFonts w:ascii="Tahoma" w:hAnsi="Tahoma" w:cs="Tahoma"/>
                <w:sz w:val="20"/>
              </w:rPr>
            </w:pPr>
            <w:r>
              <w:rPr>
                <w:rFonts w:ascii="Tahoma" w:hAnsi="Tahoma" w:cs="Tahoma"/>
                <w:sz w:val="20"/>
              </w:rPr>
              <w:t xml:space="preserve">The SCE is very separate from the main credit campus and students are fearful of going to the other side of campus. Help students feel that the credit side is their campus too. </w:t>
            </w:r>
          </w:p>
          <w:p w14:paraId="0A3CF811" w14:textId="125EADD6" w:rsidR="00F230B4" w:rsidRDefault="00F230B4" w:rsidP="000D5A30">
            <w:pPr>
              <w:numPr>
                <w:ilvl w:val="0"/>
                <w:numId w:val="1"/>
              </w:numPr>
              <w:spacing w:after="160" w:line="259" w:lineRule="auto"/>
              <w:contextualSpacing/>
              <w:rPr>
                <w:rFonts w:ascii="Tahoma" w:hAnsi="Tahoma" w:cs="Tahoma"/>
                <w:sz w:val="20"/>
              </w:rPr>
            </w:pPr>
            <w:r>
              <w:rPr>
                <w:rFonts w:ascii="Tahoma" w:hAnsi="Tahoma" w:cs="Tahoma"/>
                <w:sz w:val="20"/>
              </w:rPr>
              <w:t xml:space="preserve">More </w:t>
            </w:r>
            <w:r w:rsidR="00A87288">
              <w:rPr>
                <w:rFonts w:ascii="Tahoma" w:hAnsi="Tahoma" w:cs="Tahoma"/>
                <w:sz w:val="20"/>
              </w:rPr>
              <w:t xml:space="preserve">collaboration and </w:t>
            </w:r>
            <w:r>
              <w:rPr>
                <w:rFonts w:ascii="Tahoma" w:hAnsi="Tahoma" w:cs="Tahoma"/>
                <w:sz w:val="20"/>
              </w:rPr>
              <w:t>integration</w:t>
            </w:r>
            <w:r w:rsidR="00A87288">
              <w:rPr>
                <w:rFonts w:ascii="Tahoma" w:hAnsi="Tahoma" w:cs="Tahoma"/>
                <w:sz w:val="20"/>
              </w:rPr>
              <w:t xml:space="preserve"> between</w:t>
            </w:r>
            <w:r w:rsidR="002B2438">
              <w:rPr>
                <w:rFonts w:ascii="Tahoma" w:hAnsi="Tahoma" w:cs="Tahoma"/>
                <w:sz w:val="20"/>
              </w:rPr>
              <w:t xml:space="preserve"> credit and noncredit</w:t>
            </w:r>
            <w:r w:rsidR="00C73CA2">
              <w:rPr>
                <w:rFonts w:ascii="Tahoma" w:hAnsi="Tahoma" w:cs="Tahoma"/>
                <w:sz w:val="20"/>
              </w:rPr>
              <w:t xml:space="preserve"> programs.</w:t>
            </w:r>
          </w:p>
          <w:p w14:paraId="437CD73B" w14:textId="03A95F14" w:rsidR="00D06DD0" w:rsidRDefault="00442B10" w:rsidP="000D5A30">
            <w:pPr>
              <w:numPr>
                <w:ilvl w:val="0"/>
                <w:numId w:val="1"/>
              </w:numPr>
              <w:spacing w:after="160" w:line="259" w:lineRule="auto"/>
              <w:contextualSpacing/>
              <w:rPr>
                <w:rFonts w:ascii="Tahoma" w:hAnsi="Tahoma" w:cs="Tahoma"/>
                <w:sz w:val="20"/>
              </w:rPr>
            </w:pPr>
            <w:r>
              <w:rPr>
                <w:rFonts w:ascii="Tahoma" w:hAnsi="Tahoma" w:cs="Tahoma"/>
                <w:sz w:val="20"/>
              </w:rPr>
              <w:t>Provide</w:t>
            </w:r>
            <w:r w:rsidR="00D06DD0">
              <w:rPr>
                <w:rFonts w:ascii="Tahoma" w:hAnsi="Tahoma" w:cs="Tahoma"/>
                <w:sz w:val="20"/>
              </w:rPr>
              <w:t xml:space="preserve"> mentorship to nonc</w:t>
            </w:r>
            <w:r w:rsidR="002B2438">
              <w:rPr>
                <w:rFonts w:ascii="Tahoma" w:hAnsi="Tahoma" w:cs="Tahoma"/>
                <w:sz w:val="20"/>
              </w:rPr>
              <w:t xml:space="preserve">redit students. </w:t>
            </w:r>
            <w:r>
              <w:rPr>
                <w:rFonts w:ascii="Tahoma" w:hAnsi="Tahoma" w:cs="Tahoma"/>
                <w:sz w:val="20"/>
              </w:rPr>
              <w:t xml:space="preserve">Provide a </w:t>
            </w:r>
            <w:r w:rsidR="00F0068B">
              <w:rPr>
                <w:rFonts w:ascii="Tahoma" w:hAnsi="Tahoma" w:cs="Tahoma"/>
                <w:sz w:val="20"/>
              </w:rPr>
              <w:t>buddy-</w:t>
            </w:r>
            <w:r w:rsidR="00D06DD0">
              <w:rPr>
                <w:rFonts w:ascii="Tahoma" w:hAnsi="Tahoma" w:cs="Tahoma"/>
                <w:sz w:val="20"/>
              </w:rPr>
              <w:t xml:space="preserve">mentorship, where students </w:t>
            </w:r>
            <w:r w:rsidR="00D06DD0">
              <w:rPr>
                <w:rFonts w:ascii="Tahoma" w:hAnsi="Tahoma" w:cs="Tahoma"/>
                <w:sz w:val="20"/>
              </w:rPr>
              <w:lastRenderedPageBreak/>
              <w:t>that are credit or previous noncredit students can guide noncredit students to the credit side.</w:t>
            </w:r>
          </w:p>
          <w:p w14:paraId="38FEA4FE" w14:textId="77777777" w:rsidR="000445FE" w:rsidRDefault="00F0068B" w:rsidP="000D5A30">
            <w:pPr>
              <w:numPr>
                <w:ilvl w:val="0"/>
                <w:numId w:val="1"/>
              </w:numPr>
              <w:spacing w:after="160" w:line="259" w:lineRule="auto"/>
              <w:contextualSpacing/>
              <w:rPr>
                <w:rFonts w:ascii="Tahoma" w:hAnsi="Tahoma" w:cs="Tahoma"/>
                <w:sz w:val="20"/>
              </w:rPr>
            </w:pPr>
            <w:r>
              <w:rPr>
                <w:rFonts w:ascii="Tahoma" w:hAnsi="Tahoma" w:cs="Tahoma"/>
                <w:sz w:val="20"/>
              </w:rPr>
              <w:t>Introduce noncredit students to credit professors</w:t>
            </w:r>
          </w:p>
          <w:p w14:paraId="01FDEEFA" w14:textId="31C673DB" w:rsidR="00F0068B" w:rsidRDefault="00FE1DAE" w:rsidP="000D5A30">
            <w:pPr>
              <w:numPr>
                <w:ilvl w:val="0"/>
                <w:numId w:val="1"/>
              </w:numPr>
              <w:spacing w:after="160" w:line="259" w:lineRule="auto"/>
              <w:contextualSpacing/>
              <w:rPr>
                <w:rFonts w:ascii="Tahoma" w:hAnsi="Tahoma" w:cs="Tahoma"/>
                <w:sz w:val="20"/>
              </w:rPr>
            </w:pPr>
            <w:r>
              <w:rPr>
                <w:rFonts w:ascii="Tahoma" w:hAnsi="Tahoma" w:cs="Tahoma"/>
                <w:sz w:val="20"/>
              </w:rPr>
              <w:t>Are there a</w:t>
            </w:r>
            <w:r w:rsidR="00F0068B">
              <w:rPr>
                <w:rFonts w:ascii="Tahoma" w:hAnsi="Tahoma" w:cs="Tahoma"/>
                <w:sz w:val="20"/>
              </w:rPr>
              <w:t>ny noncredit counselors that specialize in the transition from noncredit to credit in 9B</w:t>
            </w:r>
            <w:r>
              <w:rPr>
                <w:rFonts w:ascii="Tahoma" w:hAnsi="Tahoma" w:cs="Tahoma"/>
                <w:sz w:val="20"/>
              </w:rPr>
              <w:t>? This would be useful</w:t>
            </w:r>
          </w:p>
          <w:p w14:paraId="1D5C36AB" w14:textId="33F35469" w:rsidR="00F0068B" w:rsidRDefault="00F0068B" w:rsidP="000D5A30">
            <w:pPr>
              <w:numPr>
                <w:ilvl w:val="0"/>
                <w:numId w:val="1"/>
              </w:numPr>
              <w:spacing w:after="160" w:line="259" w:lineRule="auto"/>
              <w:contextualSpacing/>
              <w:rPr>
                <w:rFonts w:ascii="Tahoma" w:hAnsi="Tahoma" w:cs="Tahoma"/>
                <w:sz w:val="20"/>
              </w:rPr>
            </w:pPr>
            <w:r>
              <w:rPr>
                <w:rFonts w:ascii="Tahoma" w:hAnsi="Tahoma" w:cs="Tahoma"/>
                <w:sz w:val="20"/>
              </w:rPr>
              <w:t xml:space="preserve">Putting a sign </w:t>
            </w:r>
            <w:r w:rsidR="002B2438">
              <w:rPr>
                <w:rFonts w:ascii="Tahoma" w:hAnsi="Tahoma" w:cs="Tahoma"/>
                <w:sz w:val="20"/>
              </w:rPr>
              <w:t>that we</w:t>
            </w:r>
            <w:r w:rsidR="004B679F">
              <w:rPr>
                <w:rFonts w:ascii="Tahoma" w:hAnsi="Tahoma" w:cs="Tahoma"/>
                <w:sz w:val="20"/>
              </w:rPr>
              <w:t>lcomes noncredit students in 9B. This c</w:t>
            </w:r>
            <w:r w:rsidR="002B2438">
              <w:rPr>
                <w:rFonts w:ascii="Tahoma" w:hAnsi="Tahoma" w:cs="Tahoma"/>
                <w:sz w:val="20"/>
              </w:rPr>
              <w:t>an potentially become the first point of entry</w:t>
            </w:r>
            <w:r w:rsidR="00C112FE">
              <w:rPr>
                <w:rFonts w:ascii="Tahoma" w:hAnsi="Tahoma" w:cs="Tahoma"/>
                <w:sz w:val="20"/>
              </w:rPr>
              <w:t xml:space="preserve"> for noncredit students</w:t>
            </w:r>
          </w:p>
          <w:p w14:paraId="3D1FF48D" w14:textId="77777777" w:rsidR="00C112FE" w:rsidRDefault="00C112FE" w:rsidP="00C112FE">
            <w:pPr>
              <w:numPr>
                <w:ilvl w:val="0"/>
                <w:numId w:val="1"/>
              </w:numPr>
              <w:spacing w:after="160" w:line="259" w:lineRule="auto"/>
              <w:contextualSpacing/>
              <w:rPr>
                <w:rFonts w:ascii="Tahoma" w:hAnsi="Tahoma" w:cs="Tahoma"/>
                <w:sz w:val="20"/>
              </w:rPr>
            </w:pPr>
            <w:r>
              <w:rPr>
                <w:rFonts w:ascii="Tahoma" w:hAnsi="Tahoma" w:cs="Tahoma"/>
                <w:sz w:val="20"/>
              </w:rPr>
              <w:t>Example of a good model that merges both credit and noncredit is health careers</w:t>
            </w:r>
          </w:p>
          <w:p w14:paraId="1E9A4388" w14:textId="439F1BC5" w:rsidR="00DA624E" w:rsidRDefault="00DA624E" w:rsidP="00DA624E">
            <w:pPr>
              <w:numPr>
                <w:ilvl w:val="0"/>
                <w:numId w:val="1"/>
              </w:numPr>
              <w:spacing w:after="160" w:line="259" w:lineRule="auto"/>
              <w:contextualSpacing/>
              <w:rPr>
                <w:rFonts w:ascii="Tahoma" w:hAnsi="Tahoma" w:cs="Tahoma"/>
                <w:sz w:val="20"/>
              </w:rPr>
            </w:pPr>
            <w:r>
              <w:rPr>
                <w:rFonts w:ascii="Tahoma" w:hAnsi="Tahoma" w:cs="Tahoma"/>
                <w:sz w:val="20"/>
              </w:rPr>
              <w:t>Hold 10 noncredit seats for an English 1A class</w:t>
            </w:r>
            <w:r w:rsidR="00E840C2">
              <w:rPr>
                <w:rFonts w:ascii="Tahoma" w:hAnsi="Tahoma" w:cs="Tahoma"/>
                <w:sz w:val="20"/>
              </w:rPr>
              <w:t xml:space="preserve"> and schedule it in building 30. This way,</w:t>
            </w:r>
            <w:r>
              <w:rPr>
                <w:rFonts w:ascii="Tahoma" w:hAnsi="Tahoma" w:cs="Tahoma"/>
                <w:sz w:val="20"/>
              </w:rPr>
              <w:t xml:space="preserve"> noncredit resources would be at the students</w:t>
            </w:r>
            <w:r w:rsidR="00E840C2">
              <w:rPr>
                <w:rFonts w:ascii="Tahoma" w:hAnsi="Tahoma" w:cs="Tahoma"/>
                <w:sz w:val="20"/>
              </w:rPr>
              <w:t>’</w:t>
            </w:r>
            <w:r>
              <w:rPr>
                <w:rFonts w:ascii="Tahoma" w:hAnsi="Tahoma" w:cs="Tahoma"/>
                <w:sz w:val="20"/>
              </w:rPr>
              <w:t xml:space="preserve"> disposal</w:t>
            </w:r>
          </w:p>
          <w:p w14:paraId="0802C804" w14:textId="5784AE51" w:rsidR="00C112FE" w:rsidRDefault="003D5930" w:rsidP="00DA624E">
            <w:pPr>
              <w:numPr>
                <w:ilvl w:val="0"/>
                <w:numId w:val="1"/>
              </w:numPr>
              <w:spacing w:after="160" w:line="259" w:lineRule="auto"/>
              <w:contextualSpacing/>
              <w:rPr>
                <w:rFonts w:ascii="Tahoma" w:hAnsi="Tahoma" w:cs="Tahoma"/>
                <w:sz w:val="20"/>
              </w:rPr>
            </w:pPr>
            <w:r>
              <w:rPr>
                <w:rFonts w:ascii="Tahoma" w:hAnsi="Tahoma" w:cs="Tahoma"/>
                <w:sz w:val="20"/>
              </w:rPr>
              <w:t xml:space="preserve">Connect with credit faculty and have a greet and meet, and </w:t>
            </w:r>
            <w:r w:rsidR="006908B3">
              <w:rPr>
                <w:rFonts w:ascii="Tahoma" w:hAnsi="Tahoma" w:cs="Tahoma"/>
                <w:sz w:val="20"/>
              </w:rPr>
              <w:t>have shared activities between</w:t>
            </w:r>
            <w:r w:rsidR="00993A73">
              <w:rPr>
                <w:rFonts w:ascii="Tahoma" w:hAnsi="Tahoma" w:cs="Tahoma"/>
                <w:sz w:val="20"/>
              </w:rPr>
              <w:t xml:space="preserve"> noncredit</w:t>
            </w:r>
            <w:r>
              <w:rPr>
                <w:rFonts w:ascii="Tahoma" w:hAnsi="Tahoma" w:cs="Tahoma"/>
                <w:sz w:val="20"/>
              </w:rPr>
              <w:t xml:space="preserve"> and credit faculty</w:t>
            </w:r>
            <w:r w:rsidR="00993A73">
              <w:rPr>
                <w:rFonts w:ascii="Tahoma" w:hAnsi="Tahoma" w:cs="Tahoma"/>
                <w:sz w:val="20"/>
              </w:rPr>
              <w:t xml:space="preserve"> and students</w:t>
            </w:r>
          </w:p>
          <w:p w14:paraId="4379C630" w14:textId="4521451B" w:rsidR="003231B6" w:rsidRDefault="003231B6" w:rsidP="003231B6">
            <w:pPr>
              <w:numPr>
                <w:ilvl w:val="0"/>
                <w:numId w:val="1"/>
              </w:numPr>
              <w:spacing w:after="160" w:line="259" w:lineRule="auto"/>
              <w:contextualSpacing/>
              <w:rPr>
                <w:rFonts w:ascii="Tahoma" w:hAnsi="Tahoma" w:cs="Tahoma"/>
                <w:sz w:val="20"/>
              </w:rPr>
            </w:pPr>
            <w:r>
              <w:rPr>
                <w:rFonts w:ascii="Tahoma" w:hAnsi="Tahoma" w:cs="Tahoma"/>
                <w:sz w:val="20"/>
              </w:rPr>
              <w:t>Encourage noncredit students to take credit courses, in order to impro</w:t>
            </w:r>
            <w:r w:rsidR="00D5511A">
              <w:rPr>
                <w:rFonts w:ascii="Tahoma" w:hAnsi="Tahoma" w:cs="Tahoma"/>
                <w:sz w:val="20"/>
              </w:rPr>
              <w:t>ve their</w:t>
            </w:r>
            <w:r>
              <w:rPr>
                <w:rFonts w:ascii="Tahoma" w:hAnsi="Tahoma" w:cs="Tahoma"/>
                <w:sz w:val="20"/>
              </w:rPr>
              <w:t xml:space="preserve"> </w:t>
            </w:r>
            <w:r w:rsidR="00A96E52">
              <w:rPr>
                <w:rFonts w:ascii="Tahoma" w:hAnsi="Tahoma" w:cs="Tahoma"/>
                <w:sz w:val="20"/>
              </w:rPr>
              <w:t xml:space="preserve">English language </w:t>
            </w:r>
            <w:r>
              <w:rPr>
                <w:rFonts w:ascii="Tahoma" w:hAnsi="Tahoma" w:cs="Tahoma"/>
                <w:sz w:val="20"/>
              </w:rPr>
              <w:t>skills</w:t>
            </w:r>
          </w:p>
          <w:p w14:paraId="5C6448AD" w14:textId="6A597986" w:rsidR="00A96E52" w:rsidRPr="00C112FE" w:rsidRDefault="00A96E52" w:rsidP="00433AC8">
            <w:pPr>
              <w:numPr>
                <w:ilvl w:val="0"/>
                <w:numId w:val="1"/>
              </w:numPr>
              <w:spacing w:after="160" w:line="259" w:lineRule="auto"/>
              <w:contextualSpacing/>
              <w:rPr>
                <w:rFonts w:ascii="Tahoma" w:hAnsi="Tahoma" w:cs="Tahoma"/>
                <w:sz w:val="20"/>
              </w:rPr>
            </w:pPr>
            <w:r>
              <w:rPr>
                <w:rFonts w:ascii="Tahoma" w:hAnsi="Tahoma" w:cs="Tahoma"/>
                <w:sz w:val="20"/>
              </w:rPr>
              <w:t>Noncredit students can be he</w:t>
            </w:r>
            <w:r w:rsidR="00433AC8">
              <w:rPr>
                <w:rFonts w:ascii="Tahoma" w:hAnsi="Tahoma" w:cs="Tahoma"/>
                <w:sz w:val="20"/>
              </w:rPr>
              <w:t>sitant to take</w:t>
            </w:r>
            <w:r>
              <w:rPr>
                <w:rFonts w:ascii="Tahoma" w:hAnsi="Tahoma" w:cs="Tahoma"/>
                <w:sz w:val="20"/>
              </w:rPr>
              <w:t xml:space="preserve"> credit</w:t>
            </w:r>
            <w:r w:rsidR="00433AC8">
              <w:rPr>
                <w:rFonts w:ascii="Tahoma" w:hAnsi="Tahoma" w:cs="Tahoma"/>
                <w:sz w:val="20"/>
              </w:rPr>
              <w:t xml:space="preserve"> classes due to their</w:t>
            </w:r>
            <w:r>
              <w:rPr>
                <w:rFonts w:ascii="Tahoma" w:hAnsi="Tahoma" w:cs="Tahoma"/>
                <w:sz w:val="20"/>
              </w:rPr>
              <w:t xml:space="preserve"> immigration status</w:t>
            </w:r>
            <w:r w:rsidR="00D95502">
              <w:rPr>
                <w:rFonts w:ascii="Tahoma" w:hAnsi="Tahoma" w:cs="Tahoma"/>
                <w:sz w:val="20"/>
              </w:rPr>
              <w:t>. We should assure them that this is no</w:t>
            </w:r>
            <w:r w:rsidR="0025243A">
              <w:rPr>
                <w:rFonts w:ascii="Tahoma" w:hAnsi="Tahoma" w:cs="Tahoma"/>
                <w:sz w:val="20"/>
              </w:rPr>
              <w:t>t an issue</w:t>
            </w:r>
          </w:p>
        </w:tc>
      </w:tr>
    </w:tbl>
    <w:p w14:paraId="279BF4D8" w14:textId="05867449" w:rsidR="00C87FAB" w:rsidRDefault="00C87FAB" w:rsidP="007A7397">
      <w:pPr>
        <w:spacing w:after="0"/>
        <w:rPr>
          <w:rFonts w:asciiTheme="majorHAnsi" w:hAnsiTheme="majorHAnsi" w:cstheme="majorHAnsi"/>
          <w:color w:val="4472C4" w:themeColor="accent5"/>
          <w:sz w:val="28"/>
        </w:rPr>
      </w:pPr>
    </w:p>
    <w:p w14:paraId="1227B647" w14:textId="1BDB2F5C" w:rsidR="009727FB" w:rsidRPr="009727FB" w:rsidRDefault="009727FB" w:rsidP="007A7397">
      <w:pPr>
        <w:spacing w:after="0"/>
        <w:rPr>
          <w:rFonts w:asciiTheme="majorHAnsi" w:hAnsiTheme="majorHAnsi" w:cstheme="majorHAnsi"/>
          <w:b/>
          <w:color w:val="auto"/>
          <w:sz w:val="26"/>
          <w:szCs w:val="26"/>
        </w:rPr>
      </w:pPr>
      <w:r w:rsidRPr="009727FB">
        <w:rPr>
          <w:rFonts w:asciiTheme="majorHAnsi" w:hAnsiTheme="majorHAnsi" w:cstheme="majorHAnsi"/>
          <w:b/>
          <w:color w:val="auto"/>
          <w:sz w:val="26"/>
          <w:szCs w:val="26"/>
        </w:rPr>
        <w:t xml:space="preserve">Upcoming meeting date: </w:t>
      </w:r>
      <w:r w:rsidR="00862327">
        <w:rPr>
          <w:rFonts w:asciiTheme="majorHAnsi" w:hAnsiTheme="majorHAnsi" w:cstheme="majorHAnsi"/>
          <w:b/>
          <w:color w:val="auto"/>
          <w:sz w:val="26"/>
          <w:szCs w:val="26"/>
        </w:rPr>
        <w:t>May 11</w:t>
      </w:r>
      <w:r w:rsidR="000D3F44">
        <w:rPr>
          <w:rFonts w:asciiTheme="majorHAnsi" w:hAnsiTheme="majorHAnsi" w:cstheme="majorHAnsi"/>
          <w:b/>
          <w:color w:val="auto"/>
          <w:sz w:val="26"/>
          <w:szCs w:val="26"/>
        </w:rPr>
        <w:t>,</w:t>
      </w:r>
      <w:r w:rsidRPr="009727FB">
        <w:rPr>
          <w:rFonts w:asciiTheme="majorHAnsi" w:hAnsiTheme="majorHAnsi" w:cstheme="majorHAnsi"/>
          <w:b/>
          <w:color w:val="auto"/>
          <w:sz w:val="26"/>
          <w:szCs w:val="26"/>
        </w:rPr>
        <w:t xml:space="preserve"> 2021</w:t>
      </w:r>
    </w:p>
    <w:sectPr w:rsidR="009727FB" w:rsidRPr="009727FB" w:rsidSect="0008786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426"/>
    <w:multiLevelType w:val="hybridMultilevel"/>
    <w:tmpl w:val="F15A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72310"/>
    <w:multiLevelType w:val="hybridMultilevel"/>
    <w:tmpl w:val="B4A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10F2"/>
    <w:multiLevelType w:val="hybridMultilevel"/>
    <w:tmpl w:val="9168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D4889"/>
    <w:multiLevelType w:val="hybridMultilevel"/>
    <w:tmpl w:val="D18E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D3F82"/>
    <w:multiLevelType w:val="hybridMultilevel"/>
    <w:tmpl w:val="5C1E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43EA4"/>
    <w:multiLevelType w:val="hybridMultilevel"/>
    <w:tmpl w:val="C796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C0A32"/>
    <w:multiLevelType w:val="hybridMultilevel"/>
    <w:tmpl w:val="8402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C7219"/>
    <w:multiLevelType w:val="hybridMultilevel"/>
    <w:tmpl w:val="0580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C2B23"/>
    <w:multiLevelType w:val="hybridMultilevel"/>
    <w:tmpl w:val="9C0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64557"/>
    <w:multiLevelType w:val="hybridMultilevel"/>
    <w:tmpl w:val="AF80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11665"/>
    <w:multiLevelType w:val="hybridMultilevel"/>
    <w:tmpl w:val="9222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9"/>
  </w:num>
  <w:num w:numId="6">
    <w:abstractNumId w:val="7"/>
  </w:num>
  <w:num w:numId="7">
    <w:abstractNumId w:val="3"/>
  </w:num>
  <w:num w:numId="8">
    <w:abstractNumId w:val="5"/>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97"/>
    <w:rsid w:val="00014753"/>
    <w:rsid w:val="000445FE"/>
    <w:rsid w:val="0004492E"/>
    <w:rsid w:val="00052817"/>
    <w:rsid w:val="000809EC"/>
    <w:rsid w:val="00081D6F"/>
    <w:rsid w:val="00083C43"/>
    <w:rsid w:val="00087864"/>
    <w:rsid w:val="000975B1"/>
    <w:rsid w:val="000A14DF"/>
    <w:rsid w:val="000A71B5"/>
    <w:rsid w:val="000D3F44"/>
    <w:rsid w:val="000D599F"/>
    <w:rsid w:val="000D5A30"/>
    <w:rsid w:val="00104FCE"/>
    <w:rsid w:val="00116C63"/>
    <w:rsid w:val="00116E46"/>
    <w:rsid w:val="00124690"/>
    <w:rsid w:val="00153AC0"/>
    <w:rsid w:val="0016040B"/>
    <w:rsid w:val="00161C47"/>
    <w:rsid w:val="001979F6"/>
    <w:rsid w:val="001A413A"/>
    <w:rsid w:val="001A63FE"/>
    <w:rsid w:val="001B0159"/>
    <w:rsid w:val="001B4EEB"/>
    <w:rsid w:val="001F3696"/>
    <w:rsid w:val="0021484A"/>
    <w:rsid w:val="00220131"/>
    <w:rsid w:val="0025243A"/>
    <w:rsid w:val="002573A3"/>
    <w:rsid w:val="00257CFC"/>
    <w:rsid w:val="00296B49"/>
    <w:rsid w:val="002A26EB"/>
    <w:rsid w:val="002B2438"/>
    <w:rsid w:val="003021A9"/>
    <w:rsid w:val="00304281"/>
    <w:rsid w:val="00307C18"/>
    <w:rsid w:val="003231B6"/>
    <w:rsid w:val="00343AA5"/>
    <w:rsid w:val="0035214A"/>
    <w:rsid w:val="003552E9"/>
    <w:rsid w:val="0036519F"/>
    <w:rsid w:val="00367D23"/>
    <w:rsid w:val="00374A4B"/>
    <w:rsid w:val="003939D6"/>
    <w:rsid w:val="003A3D05"/>
    <w:rsid w:val="003A4293"/>
    <w:rsid w:val="003C73B8"/>
    <w:rsid w:val="003D4A3A"/>
    <w:rsid w:val="003D5930"/>
    <w:rsid w:val="003E1AF0"/>
    <w:rsid w:val="003E350B"/>
    <w:rsid w:val="004010BE"/>
    <w:rsid w:val="00433AC8"/>
    <w:rsid w:val="00442B10"/>
    <w:rsid w:val="00451590"/>
    <w:rsid w:val="00455488"/>
    <w:rsid w:val="00455FDE"/>
    <w:rsid w:val="00466020"/>
    <w:rsid w:val="004876D2"/>
    <w:rsid w:val="00491C2E"/>
    <w:rsid w:val="00495C42"/>
    <w:rsid w:val="004B0B62"/>
    <w:rsid w:val="004B679F"/>
    <w:rsid w:val="004C0825"/>
    <w:rsid w:val="004E0EE0"/>
    <w:rsid w:val="005325BC"/>
    <w:rsid w:val="00535AD5"/>
    <w:rsid w:val="00542DC7"/>
    <w:rsid w:val="005502A9"/>
    <w:rsid w:val="00573D41"/>
    <w:rsid w:val="005777C3"/>
    <w:rsid w:val="00596764"/>
    <w:rsid w:val="005A1F05"/>
    <w:rsid w:val="005C41F9"/>
    <w:rsid w:val="005E449A"/>
    <w:rsid w:val="005F491A"/>
    <w:rsid w:val="00631DE6"/>
    <w:rsid w:val="006440BF"/>
    <w:rsid w:val="00650ED8"/>
    <w:rsid w:val="00673F73"/>
    <w:rsid w:val="00690211"/>
    <w:rsid w:val="006908B3"/>
    <w:rsid w:val="006A51CA"/>
    <w:rsid w:val="006C24C9"/>
    <w:rsid w:val="006D5980"/>
    <w:rsid w:val="006F06AA"/>
    <w:rsid w:val="00701C8A"/>
    <w:rsid w:val="00723BCC"/>
    <w:rsid w:val="00724C9F"/>
    <w:rsid w:val="007335E9"/>
    <w:rsid w:val="00751305"/>
    <w:rsid w:val="00752BF3"/>
    <w:rsid w:val="00760FC3"/>
    <w:rsid w:val="007A08B9"/>
    <w:rsid w:val="007A7397"/>
    <w:rsid w:val="007B1382"/>
    <w:rsid w:val="007F2479"/>
    <w:rsid w:val="007F7946"/>
    <w:rsid w:val="00817FBE"/>
    <w:rsid w:val="00821809"/>
    <w:rsid w:val="008335C1"/>
    <w:rsid w:val="00837788"/>
    <w:rsid w:val="00853533"/>
    <w:rsid w:val="008621EE"/>
    <w:rsid w:val="00862327"/>
    <w:rsid w:val="00876D23"/>
    <w:rsid w:val="00877785"/>
    <w:rsid w:val="00887F97"/>
    <w:rsid w:val="00895F0C"/>
    <w:rsid w:val="008B2C35"/>
    <w:rsid w:val="008C2D09"/>
    <w:rsid w:val="008E1D52"/>
    <w:rsid w:val="00910A0C"/>
    <w:rsid w:val="0093076B"/>
    <w:rsid w:val="0093391C"/>
    <w:rsid w:val="00950555"/>
    <w:rsid w:val="00952BE8"/>
    <w:rsid w:val="009555A9"/>
    <w:rsid w:val="009727FB"/>
    <w:rsid w:val="00975490"/>
    <w:rsid w:val="00986F52"/>
    <w:rsid w:val="00993A73"/>
    <w:rsid w:val="009B1D99"/>
    <w:rsid w:val="009F607B"/>
    <w:rsid w:val="00A01927"/>
    <w:rsid w:val="00A02E2C"/>
    <w:rsid w:val="00A15933"/>
    <w:rsid w:val="00A23A75"/>
    <w:rsid w:val="00A25DBB"/>
    <w:rsid w:val="00A268C3"/>
    <w:rsid w:val="00A57E5C"/>
    <w:rsid w:val="00A64486"/>
    <w:rsid w:val="00A653A0"/>
    <w:rsid w:val="00A71447"/>
    <w:rsid w:val="00A85CDF"/>
    <w:rsid w:val="00A87288"/>
    <w:rsid w:val="00A96E52"/>
    <w:rsid w:val="00AA7005"/>
    <w:rsid w:val="00AC4C58"/>
    <w:rsid w:val="00AD79A6"/>
    <w:rsid w:val="00AF1973"/>
    <w:rsid w:val="00B014A9"/>
    <w:rsid w:val="00B506FC"/>
    <w:rsid w:val="00B637FB"/>
    <w:rsid w:val="00B74534"/>
    <w:rsid w:val="00B83241"/>
    <w:rsid w:val="00BB589A"/>
    <w:rsid w:val="00BC5F94"/>
    <w:rsid w:val="00BD3CC2"/>
    <w:rsid w:val="00BF09EC"/>
    <w:rsid w:val="00C07A57"/>
    <w:rsid w:val="00C112FE"/>
    <w:rsid w:val="00C1293E"/>
    <w:rsid w:val="00C245AD"/>
    <w:rsid w:val="00C66020"/>
    <w:rsid w:val="00C73CA2"/>
    <w:rsid w:val="00C75851"/>
    <w:rsid w:val="00C77517"/>
    <w:rsid w:val="00C87FAB"/>
    <w:rsid w:val="00C956EB"/>
    <w:rsid w:val="00CB1F9F"/>
    <w:rsid w:val="00CC62DC"/>
    <w:rsid w:val="00CE7BFF"/>
    <w:rsid w:val="00CF0D83"/>
    <w:rsid w:val="00D06DD0"/>
    <w:rsid w:val="00D147BE"/>
    <w:rsid w:val="00D2388A"/>
    <w:rsid w:val="00D5511A"/>
    <w:rsid w:val="00D55221"/>
    <w:rsid w:val="00D62A9E"/>
    <w:rsid w:val="00D7335E"/>
    <w:rsid w:val="00D95502"/>
    <w:rsid w:val="00DA15D1"/>
    <w:rsid w:val="00DA624E"/>
    <w:rsid w:val="00DC0C06"/>
    <w:rsid w:val="00DE0041"/>
    <w:rsid w:val="00DE41A4"/>
    <w:rsid w:val="00DF19B0"/>
    <w:rsid w:val="00DF4265"/>
    <w:rsid w:val="00DF4DE5"/>
    <w:rsid w:val="00E11DDD"/>
    <w:rsid w:val="00E13414"/>
    <w:rsid w:val="00E523EF"/>
    <w:rsid w:val="00E609BA"/>
    <w:rsid w:val="00E63304"/>
    <w:rsid w:val="00E76F8B"/>
    <w:rsid w:val="00E840C2"/>
    <w:rsid w:val="00EB0DBE"/>
    <w:rsid w:val="00EC651B"/>
    <w:rsid w:val="00ED745A"/>
    <w:rsid w:val="00EF6FE6"/>
    <w:rsid w:val="00F0068B"/>
    <w:rsid w:val="00F012E5"/>
    <w:rsid w:val="00F230B4"/>
    <w:rsid w:val="00F25C2D"/>
    <w:rsid w:val="00F33F7D"/>
    <w:rsid w:val="00F343DF"/>
    <w:rsid w:val="00F3732B"/>
    <w:rsid w:val="00F376E2"/>
    <w:rsid w:val="00F8257F"/>
    <w:rsid w:val="00FB0752"/>
    <w:rsid w:val="00FB3059"/>
    <w:rsid w:val="00FE1BE4"/>
    <w:rsid w:val="00FE1DAE"/>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6764"/>
  <w15:chartTrackingRefBased/>
  <w15:docId w15:val="{61AEBB9F-9393-4A51-8304-BE080232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9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FAB"/>
    <w:rPr>
      <w:color w:val="0563C1" w:themeColor="hyperlink"/>
      <w:u w:val="single"/>
    </w:rPr>
  </w:style>
  <w:style w:type="character" w:styleId="FollowedHyperlink">
    <w:name w:val="FollowedHyperlink"/>
    <w:basedOn w:val="DefaultParagraphFont"/>
    <w:uiPriority w:val="99"/>
    <w:semiHidden/>
    <w:unhideWhenUsed/>
    <w:rsid w:val="00C87FAB"/>
    <w:rPr>
      <w:color w:val="954F72" w:themeColor="followedHyperlink"/>
      <w:u w:val="single"/>
    </w:rPr>
  </w:style>
  <w:style w:type="paragraph" w:styleId="ListParagraph">
    <w:name w:val="List Paragraph"/>
    <w:basedOn w:val="Normal"/>
    <w:uiPriority w:val="34"/>
    <w:qFormat/>
    <w:rsid w:val="00C87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ac0-my.sharepoint.com/:w:/g/personal/varenas_mtsac_edu/EfmqpJ3LxdxDiwXQypssEzoBuKETugM0odqJO2XjH1KK2g?e=AF2J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tsac0-my.sharepoint.com/:b:/g/personal/varenas_mtsac_edu/Edi0fgR4xztMjSbpcA0OoIMBSTCSYGutCtCwSmcCPR3DIQ?e=Cvqu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1CE158AE78E4286E2F224DEC3756E" ma:contentTypeVersion="12" ma:contentTypeDescription="Create a new document." ma:contentTypeScope="" ma:versionID="725b1ee8830b57b2945f747f0f9cf56c">
  <xsd:schema xmlns:xsd="http://www.w3.org/2001/XMLSchema" xmlns:xs="http://www.w3.org/2001/XMLSchema" xmlns:p="http://schemas.microsoft.com/office/2006/metadata/properties" xmlns:ns3="76dbec7e-3454-42b6-829c-5e2682a2f7e4" xmlns:ns4="1ba95152-a84a-4ecc-9608-49cf22ec317e" targetNamespace="http://schemas.microsoft.com/office/2006/metadata/properties" ma:root="true" ma:fieldsID="f10cb4a01f641bde8a2e60de55b953de" ns3:_="" ns4:_="">
    <xsd:import namespace="76dbec7e-3454-42b6-829c-5e2682a2f7e4"/>
    <xsd:import namespace="1ba95152-a84a-4ecc-9608-49cf22ec31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bec7e-3454-42b6-829c-5e2682a2f7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95152-a84a-4ecc-9608-49cf22ec31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C6A52-A051-4273-B0CF-E5A36791EF1B}">
  <ds:schemaRefs>
    <ds:schemaRef ds:uri="http://schemas.microsoft.com/sharepoint/v3/contenttype/forms"/>
  </ds:schemaRefs>
</ds:datastoreItem>
</file>

<file path=customXml/itemProps2.xml><?xml version="1.0" encoding="utf-8"?>
<ds:datastoreItem xmlns:ds="http://schemas.openxmlformats.org/officeDocument/2006/customXml" ds:itemID="{750301EA-FFD3-4A71-9B54-B7BE958FAE0F}">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76dbec7e-3454-42b6-829c-5e2682a2f7e4"/>
    <ds:schemaRef ds:uri="http://purl.org/dc/elements/1.1/"/>
    <ds:schemaRef ds:uri="1ba95152-a84a-4ecc-9608-49cf22ec317e"/>
    <ds:schemaRef ds:uri="http://www.w3.org/XML/1998/namespace"/>
  </ds:schemaRefs>
</ds:datastoreItem>
</file>

<file path=customXml/itemProps3.xml><?xml version="1.0" encoding="utf-8"?>
<ds:datastoreItem xmlns:ds="http://schemas.openxmlformats.org/officeDocument/2006/customXml" ds:itemID="{D2FA644A-3205-4F38-9C5A-C3E51C0B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bec7e-3454-42b6-829c-5e2682a2f7e4"/>
    <ds:schemaRef ds:uri="1ba95152-a84a-4ecc-9608-49cf22ec3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Arenas Juarez, Vianey</dc:creator>
  <cp:keywords/>
  <dc:description/>
  <cp:lastModifiedBy>Arenas Juarez, Vianey</cp:lastModifiedBy>
  <cp:revision>74</cp:revision>
  <dcterms:created xsi:type="dcterms:W3CDTF">2021-05-03T19:11:00Z</dcterms:created>
  <dcterms:modified xsi:type="dcterms:W3CDTF">2021-05-11T22:16:00Z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0x010100E111CE158AE78E4286E2F224DEC3756E</vt:lpwstr>
  </property>
</Properties>
</file>