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710"/>
        <w:gridCol w:w="360"/>
        <w:gridCol w:w="1710"/>
        <w:gridCol w:w="360"/>
        <w:gridCol w:w="1710"/>
        <w:gridCol w:w="360"/>
        <w:gridCol w:w="1536"/>
        <w:gridCol w:w="354"/>
        <w:gridCol w:w="1530"/>
        <w:gridCol w:w="360"/>
        <w:gridCol w:w="1648"/>
      </w:tblGrid>
      <w:tr w:rsidR="00CC36FF" w:rsidRPr="00742FC4" w14:paraId="2BC9ABB9" w14:textId="77777777" w:rsidTr="00CC36FF">
        <w:trPr>
          <w:trHeight w:hRule="exact" w:val="469"/>
          <w:jc w:val="center"/>
        </w:trPr>
        <w:tc>
          <w:tcPr>
            <w:tcW w:w="355" w:type="dxa"/>
            <w:vAlign w:val="center"/>
          </w:tcPr>
          <w:p w14:paraId="4C46B972" w14:textId="4656731C" w:rsidR="00CC36FF" w:rsidRPr="00CC36FF" w:rsidRDefault="00CC36FF" w:rsidP="00CC36F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10" w:type="dxa"/>
            <w:vAlign w:val="center"/>
          </w:tcPr>
          <w:p w14:paraId="50451711" w14:textId="4A6A6AE1" w:rsidR="00CC36FF" w:rsidRPr="00742FC4" w:rsidRDefault="00CC36FF" w:rsidP="00CC36FF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60" w:type="dxa"/>
            <w:vAlign w:val="center"/>
          </w:tcPr>
          <w:p w14:paraId="0592BA0D" w14:textId="640D1349" w:rsidR="00CC36FF" w:rsidRPr="00CC36FF" w:rsidRDefault="00CC36FF" w:rsidP="00CC36FF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C36FF">
              <w:rPr>
                <w:rFonts w:ascii="Century Gothic" w:hAnsi="Century Gothic" w:cs="Arial"/>
                <w:bCs/>
                <w:sz w:val="20"/>
                <w:szCs w:val="20"/>
              </w:rPr>
              <w:t>A</w:t>
            </w:r>
          </w:p>
        </w:tc>
        <w:tc>
          <w:tcPr>
            <w:tcW w:w="1710" w:type="dxa"/>
            <w:vAlign w:val="center"/>
          </w:tcPr>
          <w:p w14:paraId="68F83426" w14:textId="53A64BD7" w:rsidR="00CC36FF" w:rsidRPr="004F6C07" w:rsidRDefault="00CC36FF" w:rsidP="00CC36FF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60" w:type="dxa"/>
            <w:vAlign w:val="center"/>
          </w:tcPr>
          <w:p w14:paraId="14F59530" w14:textId="4586A22E" w:rsidR="00CC36FF" w:rsidRPr="00CC36FF" w:rsidRDefault="00CC36FF" w:rsidP="00CC36FF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CC36FF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710" w:type="dxa"/>
            <w:vAlign w:val="center"/>
          </w:tcPr>
          <w:p w14:paraId="2C68FDD3" w14:textId="28D02762" w:rsidR="00CC36FF" w:rsidRPr="0009435D" w:rsidRDefault="00CC36FF" w:rsidP="00CC36FF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60" w:type="dxa"/>
            <w:vAlign w:val="center"/>
          </w:tcPr>
          <w:p w14:paraId="52DE41A5" w14:textId="0E912189" w:rsidR="00CC36FF" w:rsidRPr="00742FC4" w:rsidRDefault="00CC36FF" w:rsidP="00CC36FF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536" w:type="dxa"/>
            <w:vAlign w:val="center"/>
          </w:tcPr>
          <w:p w14:paraId="33894769" w14:textId="41D579B9" w:rsidR="00CC36FF" w:rsidRPr="0056174D" w:rsidRDefault="00CC36FF" w:rsidP="00CC36FF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54" w:type="dxa"/>
            <w:vAlign w:val="center"/>
          </w:tcPr>
          <w:p w14:paraId="34855346" w14:textId="344880AE" w:rsidR="00CC36FF" w:rsidRPr="00CC36FF" w:rsidRDefault="00CC36FF" w:rsidP="00CC36FF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CC36FF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530" w:type="dxa"/>
            <w:vAlign w:val="center"/>
          </w:tcPr>
          <w:p w14:paraId="79D86CE2" w14:textId="58901D77" w:rsidR="00CC36FF" w:rsidRPr="00742FC4" w:rsidRDefault="00CC36FF" w:rsidP="00CC36FF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60" w:type="dxa"/>
            <w:vAlign w:val="center"/>
          </w:tcPr>
          <w:p w14:paraId="7ED60CBD" w14:textId="18E7D556" w:rsidR="00CC36FF" w:rsidRPr="00742FC4" w:rsidRDefault="00CC36FF" w:rsidP="00CC36FF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648" w:type="dxa"/>
            <w:vAlign w:val="center"/>
          </w:tcPr>
          <w:p w14:paraId="74B3AB90" w14:textId="00ADBF6E" w:rsidR="00CC36FF" w:rsidRPr="00972F5D" w:rsidRDefault="00CC36FF" w:rsidP="00CC36F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Luisa Howell</w:t>
            </w:r>
          </w:p>
        </w:tc>
      </w:tr>
      <w:tr w:rsidR="00AD7949" w:rsidRPr="00742FC4" w14:paraId="37CFD336" w14:textId="77777777" w:rsidTr="00CC36FF">
        <w:trPr>
          <w:trHeight w:hRule="exact" w:val="523"/>
          <w:jc w:val="center"/>
        </w:trPr>
        <w:tc>
          <w:tcPr>
            <w:tcW w:w="355" w:type="dxa"/>
            <w:vAlign w:val="center"/>
          </w:tcPr>
          <w:p w14:paraId="72CDAE26" w14:textId="43DBED8F" w:rsidR="00AD7949" w:rsidRPr="00742FC4" w:rsidRDefault="00CC36FF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10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60" w:type="dxa"/>
            <w:vAlign w:val="center"/>
          </w:tcPr>
          <w:p w14:paraId="026EB223" w14:textId="3008BE14" w:rsidR="00AD7949" w:rsidRPr="00742FC4" w:rsidRDefault="00CC36FF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10" w:type="dxa"/>
            <w:vAlign w:val="center"/>
          </w:tcPr>
          <w:p w14:paraId="6BB48B08" w14:textId="621236B8" w:rsidR="00AD7949" w:rsidRPr="00860963" w:rsidRDefault="00174909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Rosa Asencio</w:t>
            </w:r>
          </w:p>
        </w:tc>
        <w:tc>
          <w:tcPr>
            <w:tcW w:w="360" w:type="dxa"/>
            <w:vAlign w:val="center"/>
          </w:tcPr>
          <w:p w14:paraId="08469318" w14:textId="434B6D0E" w:rsidR="00AD7949" w:rsidRPr="00742FC4" w:rsidRDefault="00CC36FF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10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60" w:type="dxa"/>
            <w:vAlign w:val="center"/>
          </w:tcPr>
          <w:p w14:paraId="234C4A6C" w14:textId="74A42AFA" w:rsidR="00AD7949" w:rsidRPr="00742FC4" w:rsidRDefault="00CC36FF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536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54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60" w:type="dxa"/>
            <w:vAlign w:val="center"/>
          </w:tcPr>
          <w:p w14:paraId="0B10A951" w14:textId="3DE19924" w:rsidR="00AD7949" w:rsidRPr="00742FC4" w:rsidRDefault="00CC36FF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CC36FF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64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4140"/>
        <w:gridCol w:w="6566"/>
      </w:tblGrid>
      <w:tr w:rsidR="00476BD8" w:rsidRPr="00E5205A" w14:paraId="15859F66" w14:textId="77777777" w:rsidTr="00DA28AD">
        <w:trPr>
          <w:trHeight w:val="432"/>
          <w:jc w:val="center"/>
        </w:trPr>
        <w:tc>
          <w:tcPr>
            <w:tcW w:w="3325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140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656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476BD8" w:rsidRPr="00E5205A" w14:paraId="1EAA225E" w14:textId="77777777" w:rsidTr="00DA28AD">
        <w:trPr>
          <w:jc w:val="center"/>
        </w:trPr>
        <w:tc>
          <w:tcPr>
            <w:tcW w:w="3325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0F02BA20" w14:textId="3FE76506" w:rsidR="00A03A08" w:rsidRPr="00841AEC" w:rsidRDefault="00275591" w:rsidP="00841AE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</w:tc>
        <w:tc>
          <w:tcPr>
            <w:tcW w:w="6566" w:type="dxa"/>
            <w:vAlign w:val="center"/>
          </w:tcPr>
          <w:p w14:paraId="76AB24A7" w14:textId="1E866C1A" w:rsidR="005B7AB5" w:rsidRPr="00496D87" w:rsidRDefault="00DA28AD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Minutes from October 11, 2018 were approved.</w:t>
            </w:r>
          </w:p>
        </w:tc>
      </w:tr>
      <w:tr w:rsidR="00476BD8" w:rsidRPr="00E5205A" w14:paraId="02693C3D" w14:textId="77777777" w:rsidTr="00DA28AD">
        <w:trPr>
          <w:jc w:val="center"/>
        </w:trPr>
        <w:tc>
          <w:tcPr>
            <w:tcW w:w="3325" w:type="dxa"/>
          </w:tcPr>
          <w:p w14:paraId="6921D727" w14:textId="16286CE0" w:rsidR="00B67838" w:rsidRPr="00476BD8" w:rsidRDefault="00B67838" w:rsidP="00476BD8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4140" w:type="dxa"/>
          </w:tcPr>
          <w:p w14:paraId="5247DB8B" w14:textId="3C3A70E0" w:rsidR="00B67838" w:rsidRPr="00302BBA" w:rsidRDefault="00B67838" w:rsidP="00302BBA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566" w:type="dxa"/>
            <w:vAlign w:val="center"/>
          </w:tcPr>
          <w:p w14:paraId="7DAAF474" w14:textId="77777777" w:rsidR="00B67838" w:rsidRDefault="00DA28AD" w:rsidP="00DA28AD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DA28AD">
              <w:rPr>
                <w:rFonts w:ascii="Century Gothic" w:hAnsi="Century Gothic" w:cs="Arial"/>
                <w:bCs/>
                <w:iCs/>
                <w:sz w:val="20"/>
              </w:rPr>
              <w:t>CPDC approved several workshops for professional growth increments.</w:t>
            </w:r>
          </w:p>
          <w:p w14:paraId="55E2B8B3" w14:textId="36C6A40B" w:rsidR="00DA28AD" w:rsidRDefault="00DA28AD" w:rsidP="00DA28AD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There has been discussion about bringing back Newleaf </w:t>
            </w:r>
            <w:r w:rsidR="00155B97">
              <w:rPr>
                <w:rFonts w:ascii="Century Gothic" w:hAnsi="Century Gothic" w:cs="Arial"/>
                <w:bCs/>
                <w:iCs/>
                <w:sz w:val="20"/>
              </w:rPr>
              <w:t xml:space="preserve">and Excel trainers to offer additional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training for Classified staff.</w:t>
            </w:r>
          </w:p>
          <w:p w14:paraId="786E6FCE" w14:textId="77777777" w:rsidR="00DA28AD" w:rsidRDefault="003B6C5C" w:rsidP="00DA28AD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Discussion has taken place about phase 2 of Great Staff Retreat.</w:t>
            </w:r>
          </w:p>
          <w:p w14:paraId="2DBDE053" w14:textId="77777777" w:rsidR="003B6C5C" w:rsidRDefault="003B6C5C" w:rsidP="00DA28AD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CPDC reviewed the executive summary from CPD Day.</w:t>
            </w:r>
          </w:p>
          <w:p w14:paraId="29BE3E50" w14:textId="3C02B64F" w:rsidR="003B6C5C" w:rsidRPr="00DA28AD" w:rsidRDefault="003B6C5C" w:rsidP="00155B97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There a</w:t>
            </w:r>
            <w:r w:rsidR="00155B97">
              <w:rPr>
                <w:rFonts w:ascii="Century Gothic" w:hAnsi="Century Gothic" w:cs="Arial"/>
                <w:bCs/>
                <w:iCs/>
                <w:sz w:val="20"/>
              </w:rPr>
              <w:t xml:space="preserve">re three offerings that will be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offered in the future, which resulted from the survey </w:t>
            </w:r>
            <w:r w:rsidR="00D057DA">
              <w:rPr>
                <w:rFonts w:ascii="Century Gothic" w:hAnsi="Century Gothic" w:cs="Arial"/>
                <w:bCs/>
                <w:iCs/>
                <w:sz w:val="20"/>
              </w:rPr>
              <w:t>they are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: </w:t>
            </w:r>
            <w:r w:rsidR="00155B97">
              <w:rPr>
                <w:rFonts w:ascii="Century Gothic" w:hAnsi="Century Gothic" w:cs="Arial"/>
                <w:bCs/>
                <w:iCs/>
                <w:sz w:val="20"/>
              </w:rPr>
              <w:t>Personal and Interpersonal Effectiveness, Leadership, and Emotional Intelligence.</w:t>
            </w:r>
            <w:r w:rsidR="00173342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</w:p>
        </w:tc>
      </w:tr>
      <w:tr w:rsidR="00476BD8" w:rsidRPr="00E5205A" w14:paraId="40F4D059" w14:textId="77777777" w:rsidTr="00DA28AD">
        <w:trPr>
          <w:jc w:val="center"/>
        </w:trPr>
        <w:tc>
          <w:tcPr>
            <w:tcW w:w="3325" w:type="dxa"/>
          </w:tcPr>
          <w:p w14:paraId="428CB487" w14:textId="172233C3" w:rsidR="00B67838" w:rsidRPr="00476BD8" w:rsidRDefault="00B67838" w:rsidP="00B6783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</w:tc>
        <w:tc>
          <w:tcPr>
            <w:tcW w:w="4140" w:type="dxa"/>
          </w:tcPr>
          <w:p w14:paraId="4B050F2C" w14:textId="77777777" w:rsidR="008A44CD" w:rsidRDefault="00302BBA" w:rsidP="002E78BA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One Book, One Campus</w:t>
            </w:r>
          </w:p>
          <w:p w14:paraId="057E0599" w14:textId="77777777" w:rsidR="00302BBA" w:rsidRDefault="00302BBA" w:rsidP="002E78BA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FLEX Day</w:t>
            </w:r>
          </w:p>
          <w:p w14:paraId="2AF670A4" w14:textId="50AED912" w:rsidR="00302BBA" w:rsidRPr="00FD749B" w:rsidRDefault="00302BBA" w:rsidP="002E78BA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Pathways PD Update</w:t>
            </w:r>
          </w:p>
        </w:tc>
        <w:tc>
          <w:tcPr>
            <w:tcW w:w="6566" w:type="dxa"/>
            <w:vAlign w:val="center"/>
          </w:tcPr>
          <w:p w14:paraId="5FF3C1BD" w14:textId="10DB9AEC" w:rsidR="00290FFE" w:rsidRPr="004458E7" w:rsidRDefault="00290FFE" w:rsidP="004458E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290FFE">
              <w:rPr>
                <w:rFonts w:ascii="Century Gothic" w:hAnsi="Century Gothic" w:cs="Arial"/>
                <w:bCs/>
                <w:iCs/>
                <w:sz w:val="20"/>
              </w:rPr>
              <w:t>FPDC is working on completing</w:t>
            </w:r>
            <w:r w:rsidR="004458E7">
              <w:rPr>
                <w:rFonts w:ascii="Century Gothic" w:hAnsi="Century Gothic" w:cs="Arial"/>
                <w:bCs/>
                <w:iCs/>
                <w:sz w:val="20"/>
              </w:rPr>
              <w:t xml:space="preserve"> their goals for 2018-19.</w:t>
            </w:r>
          </w:p>
          <w:p w14:paraId="0E0C9D04" w14:textId="6B9009AB" w:rsidR="00325500" w:rsidRDefault="00325500" w:rsidP="0032550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One book</w:t>
            </w:r>
            <w:r w:rsidR="004458E7">
              <w:rPr>
                <w:rFonts w:ascii="Century Gothic" w:hAnsi="Century Gothic" w:cs="Arial"/>
                <w:bCs/>
                <w:iCs/>
                <w:sz w:val="20"/>
              </w:rPr>
              <w:t xml:space="preserve">, one campus initiative goal is to launch it in February at spring FLEX Day.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Herschel Greenberg </w:t>
            </w:r>
            <w:r w:rsidR="004458E7">
              <w:rPr>
                <w:rFonts w:ascii="Century Gothic" w:hAnsi="Century Gothic" w:cs="Arial"/>
                <w:bCs/>
                <w:iCs/>
                <w:sz w:val="20"/>
              </w:rPr>
              <w:t>is the faculty member heading initiative. Will ask about inviting Herschel to come to next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PDC meeting to share with PDC about the book.</w:t>
            </w:r>
          </w:p>
          <w:p w14:paraId="1849ECE1" w14:textId="71CE01DA" w:rsidR="00325500" w:rsidRDefault="004458E7" w:rsidP="0032550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Starting to work on spring FLEX Day.  Statewide requirements are being looked at </w:t>
            </w:r>
            <w:r w:rsidR="00B610C6">
              <w:rPr>
                <w:rFonts w:ascii="Century Gothic" w:hAnsi="Century Gothic" w:cs="Arial"/>
                <w:bCs/>
                <w:iCs/>
                <w:sz w:val="20"/>
              </w:rPr>
              <w:t>for implementation of the flexible calendar on campus.</w:t>
            </w:r>
          </w:p>
          <w:p w14:paraId="1818A23A" w14:textId="07CF37AC" w:rsidR="00B610C6" w:rsidRDefault="00B610C6" w:rsidP="0032550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Mark Boryta from Natural Sciences - Pathways Professional Development Coordinator, is working on Pathways professional development content which is underway in the form of pathways workshops </w:t>
            </w:r>
            <w:r w:rsidR="00682F78">
              <w:rPr>
                <w:rFonts w:ascii="Century Gothic" w:hAnsi="Century Gothic" w:cs="Arial"/>
                <w:bCs/>
                <w:iCs/>
                <w:sz w:val="20"/>
              </w:rPr>
              <w:t>to push out Pathways information.</w:t>
            </w:r>
          </w:p>
          <w:p w14:paraId="4B4C1600" w14:textId="1270D75C" w:rsidR="00B610C6" w:rsidRPr="00325500" w:rsidRDefault="00B610C6" w:rsidP="00325500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There is a potential faculty retreat being planned for this year</w:t>
            </w:r>
            <w:r w:rsidR="00682F78">
              <w:rPr>
                <w:rFonts w:ascii="Century Gothic" w:hAnsi="Century Gothic" w:cs="Arial"/>
                <w:bCs/>
                <w:iCs/>
                <w:sz w:val="20"/>
              </w:rPr>
              <w:t>, Mark will be coordinating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</w:tc>
      </w:tr>
      <w:tr w:rsidR="00476BD8" w:rsidRPr="00E5205A" w14:paraId="3007D0F1" w14:textId="77777777" w:rsidTr="00DA28AD">
        <w:trPr>
          <w:trHeight w:val="305"/>
          <w:jc w:val="center"/>
        </w:trPr>
        <w:tc>
          <w:tcPr>
            <w:tcW w:w="3325" w:type="dxa"/>
          </w:tcPr>
          <w:p w14:paraId="1BC4E769" w14:textId="105E9260" w:rsidR="00B67838" w:rsidRPr="00476BD8" w:rsidRDefault="00B67838" w:rsidP="00B6783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</w:tc>
        <w:tc>
          <w:tcPr>
            <w:tcW w:w="4140" w:type="dxa"/>
          </w:tcPr>
          <w:p w14:paraId="6BEE7A16" w14:textId="77777777" w:rsidR="00B67838" w:rsidRPr="008A44CD" w:rsidRDefault="00B67838" w:rsidP="008A44CD">
            <w:p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566" w:type="dxa"/>
            <w:vAlign w:val="center"/>
          </w:tcPr>
          <w:p w14:paraId="70400FB8" w14:textId="58A3E6F8" w:rsidR="00B67838" w:rsidRDefault="00BE4EF3" w:rsidP="00BE4EF3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Retreat planning is </w:t>
            </w:r>
            <w:r w:rsidR="004737CF">
              <w:rPr>
                <w:rFonts w:ascii="Century Gothic" w:hAnsi="Century Gothic" w:cs="Arial"/>
                <w:bCs/>
                <w:iCs/>
                <w:sz w:val="20"/>
              </w:rPr>
              <w:t>under way for January 3-4, 2019 to be held in Palm Springs.</w:t>
            </w:r>
          </w:p>
          <w:p w14:paraId="3E72607A" w14:textId="77777777" w:rsidR="004737CF" w:rsidRDefault="00682F78" w:rsidP="00682F7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Newleaf will be providing the training for managers at the retreat.  Looking at other areas of focus to include: Work/Life Balance, Personal and Interpersonal Relationships, and Building Teams.  Which will also be followed up with some elearning modules in the future.</w:t>
            </w:r>
          </w:p>
          <w:p w14:paraId="36CEA11E" w14:textId="40908ECE" w:rsidR="00682F78" w:rsidRPr="00BE4EF3" w:rsidRDefault="00682F78" w:rsidP="00682F78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Monthly management meeting this morning covered reclassification</w:t>
            </w:r>
            <w:r w:rsidR="00162579">
              <w:rPr>
                <w:rFonts w:ascii="Century Gothic" w:hAnsi="Century Gothic" w:cs="Arial"/>
                <w:bCs/>
                <w:iCs/>
                <w:sz w:val="20"/>
              </w:rPr>
              <w:t xml:space="preserve"> process training.</w:t>
            </w:r>
          </w:p>
        </w:tc>
      </w:tr>
      <w:tr w:rsidR="00476BD8" w:rsidRPr="00E5205A" w14:paraId="385C8671" w14:textId="77777777" w:rsidTr="00DA28AD">
        <w:trPr>
          <w:jc w:val="center"/>
        </w:trPr>
        <w:tc>
          <w:tcPr>
            <w:tcW w:w="3325" w:type="dxa"/>
          </w:tcPr>
          <w:p w14:paraId="6C9926DB" w14:textId="57373EBE" w:rsidR="00A77813" w:rsidRDefault="00A77813" w:rsidP="00A7781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Conference and Travel</w:t>
            </w:r>
          </w:p>
        </w:tc>
        <w:tc>
          <w:tcPr>
            <w:tcW w:w="4140" w:type="dxa"/>
          </w:tcPr>
          <w:p w14:paraId="36080427" w14:textId="77777777" w:rsidR="00A77813" w:rsidRDefault="002E78BA" w:rsidP="00A77813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Sabbatical</w:t>
            </w:r>
          </w:p>
          <w:p w14:paraId="4A74811D" w14:textId="2C23135D" w:rsidR="002E78BA" w:rsidRPr="00FD749B" w:rsidRDefault="002E78BA" w:rsidP="002E78BA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Eligibility checklist</w:t>
            </w:r>
          </w:p>
        </w:tc>
        <w:tc>
          <w:tcPr>
            <w:tcW w:w="6566" w:type="dxa"/>
            <w:vAlign w:val="center"/>
          </w:tcPr>
          <w:p w14:paraId="085D8C8C" w14:textId="4904B70E" w:rsidR="00A77813" w:rsidRDefault="003B6C5C" w:rsidP="003B6C5C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Sabbatical eligible adjustment will be made to POD Funding </w:t>
            </w:r>
            <w:r w:rsidR="00325500">
              <w:rPr>
                <w:rFonts w:ascii="Century Gothic" w:hAnsi="Century Gothic" w:cs="Arial"/>
                <w:bCs/>
                <w:iCs/>
                <w:sz w:val="20"/>
              </w:rPr>
              <w:t>A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pplication to add additional check boxes to verify eligibility.</w:t>
            </w:r>
          </w:p>
          <w:p w14:paraId="3899D3BE" w14:textId="3199CB9C" w:rsidR="003B6C5C" w:rsidRDefault="003B6C5C" w:rsidP="003B6C5C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Conference and travel budget update was provide</w:t>
            </w:r>
            <w:r w:rsidR="00325500">
              <w:rPr>
                <w:rFonts w:ascii="Century Gothic" w:hAnsi="Century Gothic" w:cs="Arial"/>
                <w:bCs/>
                <w:iCs/>
                <w:sz w:val="20"/>
              </w:rPr>
              <w:t>d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to the group. </w:t>
            </w:r>
            <w:r w:rsidR="00DE7DAD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Total amount approved for conferenc</w:t>
            </w:r>
            <w:r w:rsidR="00325500">
              <w:rPr>
                <w:rFonts w:ascii="Century Gothic" w:hAnsi="Century Gothic" w:cs="Arial"/>
                <w:bCs/>
                <w:iCs/>
                <w:sz w:val="20"/>
              </w:rPr>
              <w:t>e and travel requests is at $81,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162.  Will attach budget report to the minutes.</w:t>
            </w:r>
          </w:p>
          <w:p w14:paraId="72307CB4" w14:textId="2F699177" w:rsidR="003B6C5C" w:rsidRDefault="003B6C5C" w:rsidP="003B6C5C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would like to see a campus announcement sent out as reminder of conference and travel funding availability week of November 12, 2018.</w:t>
            </w:r>
          </w:p>
          <w:p w14:paraId="728A228E" w14:textId="610D511F" w:rsidR="000E6426" w:rsidRPr="003B6C5C" w:rsidRDefault="003B6C5C" w:rsidP="00162579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PDC members were asked to </w:t>
            </w:r>
            <w:r w:rsidR="00325500">
              <w:rPr>
                <w:rFonts w:ascii="Century Gothic" w:hAnsi="Century Gothic" w:cs="Arial"/>
                <w:bCs/>
                <w:iCs/>
                <w:sz w:val="20"/>
              </w:rPr>
              <w:t>keep an eye open for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any </w:t>
            </w:r>
            <w:r w:rsidR="00980A42">
              <w:rPr>
                <w:rFonts w:ascii="Century Gothic" w:hAnsi="Century Gothic" w:cs="Arial"/>
                <w:bCs/>
                <w:iCs/>
                <w:sz w:val="20"/>
              </w:rPr>
              <w:t xml:space="preserve">incoming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C&amp;T requests that can be funded from Pathways or Student Equity</w:t>
            </w:r>
            <w:r w:rsidR="00980A42">
              <w:rPr>
                <w:rFonts w:ascii="Century Gothic" w:hAnsi="Century Gothic" w:cs="Arial"/>
                <w:bCs/>
                <w:iCs/>
                <w:sz w:val="20"/>
              </w:rPr>
              <w:t xml:space="preserve"> funding source</w:t>
            </w:r>
            <w:r w:rsidR="00325500">
              <w:rPr>
                <w:rFonts w:ascii="Century Gothic" w:hAnsi="Century Gothic" w:cs="Arial"/>
                <w:bCs/>
                <w:iCs/>
                <w:sz w:val="20"/>
              </w:rPr>
              <w:t>s</w:t>
            </w:r>
            <w:r w:rsidR="00980A42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</w:tc>
      </w:tr>
      <w:tr w:rsidR="00476BD8" w:rsidRPr="00E5205A" w14:paraId="44149D93" w14:textId="77777777" w:rsidTr="00DA28AD">
        <w:trPr>
          <w:jc w:val="center"/>
        </w:trPr>
        <w:tc>
          <w:tcPr>
            <w:tcW w:w="3325" w:type="dxa"/>
          </w:tcPr>
          <w:p w14:paraId="0FDE73FA" w14:textId="741F79AF" w:rsidR="00A61552" w:rsidRDefault="00A61552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PD Plan</w:t>
            </w:r>
          </w:p>
        </w:tc>
        <w:tc>
          <w:tcPr>
            <w:tcW w:w="4140" w:type="dxa"/>
          </w:tcPr>
          <w:p w14:paraId="4108AB20" w14:textId="17027005" w:rsidR="00A61552" w:rsidRDefault="00476BD8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Share input from constituents</w:t>
            </w:r>
          </w:p>
          <w:p w14:paraId="6413E90D" w14:textId="14415C1F" w:rsidR="00A61552" w:rsidRDefault="00A61552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6566" w:type="dxa"/>
            <w:vAlign w:val="center"/>
          </w:tcPr>
          <w:p w14:paraId="2BAC336A" w14:textId="77777777" w:rsidR="00A61552" w:rsidRDefault="00325500" w:rsidP="00325500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reviewed all suggestions submitted, will wait for more suggestions coming from two more groups.</w:t>
            </w:r>
          </w:p>
          <w:p w14:paraId="6AE09081" w14:textId="54D3EF18" w:rsidR="00325500" w:rsidRPr="00325500" w:rsidRDefault="00162579" w:rsidP="0016257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Will finalize by December and send to PAC in January.</w:t>
            </w:r>
          </w:p>
        </w:tc>
      </w:tr>
      <w:tr w:rsidR="00476BD8" w:rsidRPr="00E5205A" w14:paraId="16219408" w14:textId="77777777" w:rsidTr="00DA28AD">
        <w:trPr>
          <w:jc w:val="center"/>
        </w:trPr>
        <w:tc>
          <w:tcPr>
            <w:tcW w:w="3325" w:type="dxa"/>
          </w:tcPr>
          <w:p w14:paraId="0009E891" w14:textId="528CEE5C" w:rsidR="00476BD8" w:rsidRDefault="00476BD8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Goals 2018-19</w:t>
            </w:r>
          </w:p>
        </w:tc>
        <w:tc>
          <w:tcPr>
            <w:tcW w:w="4140" w:type="dxa"/>
          </w:tcPr>
          <w:p w14:paraId="172BBA5A" w14:textId="68EEA3BA" w:rsidR="00476BD8" w:rsidRPr="00476BD8" w:rsidRDefault="00476BD8" w:rsidP="00476BD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566" w:type="dxa"/>
            <w:vAlign w:val="center"/>
          </w:tcPr>
          <w:p w14:paraId="0398C09A" w14:textId="36A8B73E" w:rsidR="00476BD8" w:rsidRPr="00452CF9" w:rsidRDefault="00452CF9" w:rsidP="00452CF9">
            <w:pPr>
              <w:pStyle w:val="ListParagraph"/>
              <w:numPr>
                <w:ilvl w:val="0"/>
                <w:numId w:val="48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452CF9">
              <w:rPr>
                <w:rFonts w:ascii="Century Gothic" w:hAnsi="Century Gothic" w:cs="Arial"/>
                <w:bCs/>
                <w:iCs/>
                <w:sz w:val="20"/>
              </w:rPr>
              <w:t xml:space="preserve">Suggestion was made to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choose goals in the fall on an annual basis for the year.  </w:t>
            </w:r>
          </w:p>
        </w:tc>
      </w:tr>
      <w:tr w:rsidR="00476BD8" w:rsidRPr="00E5205A" w14:paraId="7B7F8CD0" w14:textId="77777777" w:rsidTr="00DA28AD">
        <w:trPr>
          <w:jc w:val="center"/>
        </w:trPr>
        <w:tc>
          <w:tcPr>
            <w:tcW w:w="3325" w:type="dxa"/>
          </w:tcPr>
          <w:p w14:paraId="6E9DC3B3" w14:textId="7A8B313F" w:rsidR="00476BD8" w:rsidRPr="002F0597" w:rsidRDefault="00476BD8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POD Report and Business</w:t>
            </w:r>
          </w:p>
        </w:tc>
        <w:tc>
          <w:tcPr>
            <w:tcW w:w="4140" w:type="dxa"/>
            <w:vAlign w:val="center"/>
          </w:tcPr>
          <w:p w14:paraId="3569A43D" w14:textId="3B6641BA" w:rsidR="00476BD8" w:rsidRPr="00841AEC" w:rsidRDefault="00476BD8" w:rsidP="00325500">
            <w:pPr>
              <w:pStyle w:val="BodyText2"/>
              <w:ind w:left="360"/>
              <w:rPr>
                <w:rFonts w:ascii="Century Gothic" w:hAnsi="Century Gothic"/>
                <w:szCs w:val="20"/>
              </w:rPr>
            </w:pPr>
          </w:p>
        </w:tc>
        <w:tc>
          <w:tcPr>
            <w:tcW w:w="6566" w:type="dxa"/>
            <w:vAlign w:val="center"/>
          </w:tcPr>
          <w:p w14:paraId="30CE7587" w14:textId="77777777" w:rsidR="00476BD8" w:rsidRPr="00496D87" w:rsidRDefault="00476BD8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2E78BA" w:rsidRPr="00E5205A" w14:paraId="359FA8E2" w14:textId="77777777" w:rsidTr="00DA28AD">
        <w:trPr>
          <w:jc w:val="center"/>
        </w:trPr>
        <w:tc>
          <w:tcPr>
            <w:tcW w:w="3325" w:type="dxa"/>
          </w:tcPr>
          <w:p w14:paraId="6D40332A" w14:textId="4F246A8A" w:rsidR="002E78BA" w:rsidRDefault="002E78B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AP/BP Development</w:t>
            </w:r>
          </w:p>
        </w:tc>
        <w:tc>
          <w:tcPr>
            <w:tcW w:w="4140" w:type="dxa"/>
            <w:vAlign w:val="center"/>
          </w:tcPr>
          <w:p w14:paraId="52F7BCE1" w14:textId="6D6924FF" w:rsidR="002E78BA" w:rsidRDefault="002E78BA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Super PDC Meeting</w:t>
            </w:r>
          </w:p>
        </w:tc>
        <w:tc>
          <w:tcPr>
            <w:tcW w:w="6566" w:type="dxa"/>
            <w:vAlign w:val="center"/>
          </w:tcPr>
          <w:p w14:paraId="0515EFDD" w14:textId="213BF7CC" w:rsidR="002E78BA" w:rsidRPr="00683F68" w:rsidRDefault="00325500" w:rsidP="00683F68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683F68">
              <w:rPr>
                <w:rFonts w:ascii="Century Gothic" w:hAnsi="Century Gothic" w:cs="Arial"/>
                <w:bCs/>
                <w:iCs/>
                <w:sz w:val="20"/>
              </w:rPr>
              <w:t>PDC members agreed to meet and have a joint meeting with FPDC, CPDC, and MPDC to collaborate on AP/BP developments sometime in March.</w:t>
            </w:r>
          </w:p>
        </w:tc>
      </w:tr>
      <w:tr w:rsidR="00476BD8" w:rsidRPr="00E5205A" w14:paraId="4E1C5BDF" w14:textId="77777777" w:rsidTr="00DA28AD">
        <w:trPr>
          <w:jc w:val="center"/>
        </w:trPr>
        <w:tc>
          <w:tcPr>
            <w:tcW w:w="3325" w:type="dxa"/>
          </w:tcPr>
          <w:p w14:paraId="7D086636" w14:textId="784B5119" w:rsidR="00476BD8" w:rsidRDefault="00476BD8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Other</w:t>
            </w:r>
          </w:p>
        </w:tc>
        <w:tc>
          <w:tcPr>
            <w:tcW w:w="4140" w:type="dxa"/>
            <w:vAlign w:val="center"/>
          </w:tcPr>
          <w:p w14:paraId="464618A2" w14:textId="3974C829" w:rsidR="00476BD8" w:rsidRPr="00476BD8" w:rsidRDefault="00476BD8" w:rsidP="00325500">
            <w:pPr>
              <w:pStyle w:val="BodyText2"/>
              <w:ind w:left="360"/>
              <w:rPr>
                <w:rFonts w:ascii="Century Gothic" w:hAnsi="Century Gothic"/>
                <w:szCs w:val="20"/>
              </w:rPr>
            </w:pPr>
          </w:p>
        </w:tc>
        <w:tc>
          <w:tcPr>
            <w:tcW w:w="6566" w:type="dxa"/>
            <w:vAlign w:val="center"/>
          </w:tcPr>
          <w:p w14:paraId="0A2BD1CD" w14:textId="5467F4D6" w:rsidR="00476BD8" w:rsidRPr="00683F68" w:rsidRDefault="00683F68" w:rsidP="00683F68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683F68">
              <w:rPr>
                <w:rFonts w:ascii="Century Gothic" w:hAnsi="Century Gothic" w:cs="Arial"/>
                <w:bCs/>
                <w:iCs/>
                <w:sz w:val="20"/>
              </w:rPr>
              <w:t>Schools First (Third Party Administrator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for tax shelters</w:t>
            </w:r>
            <w:r w:rsidRPr="00683F68">
              <w:rPr>
                <w:rFonts w:ascii="Century Gothic" w:hAnsi="Century Gothic" w:cs="Arial"/>
                <w:bCs/>
                <w:iCs/>
                <w:sz w:val="20"/>
              </w:rPr>
              <w:t>) will be offering retirement workshops in November.  To be in compliance they have to offer annual workshops</w:t>
            </w:r>
            <w:r w:rsidR="006C7EF1">
              <w:rPr>
                <w:rFonts w:ascii="Century Gothic" w:hAnsi="Century Gothic" w:cs="Arial"/>
                <w:bCs/>
                <w:iCs/>
                <w:sz w:val="20"/>
              </w:rPr>
              <w:t xml:space="preserve"> on our campus.</w:t>
            </w:r>
          </w:p>
        </w:tc>
      </w:tr>
    </w:tbl>
    <w:p w14:paraId="289ABECC" w14:textId="2615053A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3941C6CE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841AEC">
        <w:rPr>
          <w:rFonts w:ascii="Century Gothic" w:hAnsi="Century Gothic" w:cs="Arial"/>
          <w:sz w:val="22"/>
          <w:szCs w:val="22"/>
        </w:rPr>
        <w:t xml:space="preserve"> </w:t>
      </w:r>
      <w:r w:rsidR="00D93A49">
        <w:rPr>
          <w:rFonts w:ascii="Century Gothic" w:hAnsi="Century Gothic" w:cs="Arial"/>
          <w:sz w:val="22"/>
          <w:szCs w:val="22"/>
        </w:rPr>
        <w:t>December 6</w:t>
      </w:r>
      <w:r w:rsidR="00297243">
        <w:rPr>
          <w:rFonts w:ascii="Century Gothic" w:hAnsi="Century Gothic" w:cs="Arial"/>
          <w:sz w:val="22"/>
          <w:szCs w:val="22"/>
        </w:rPr>
        <w:t>, 2018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F9D1" w14:textId="77777777" w:rsidR="00606F02" w:rsidRDefault="00606F02">
      <w:r>
        <w:separator/>
      </w:r>
    </w:p>
  </w:endnote>
  <w:endnote w:type="continuationSeparator" w:id="0">
    <w:p w14:paraId="1C7168AC" w14:textId="77777777" w:rsidR="00606F02" w:rsidRDefault="0060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5DDF7918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C066" w14:textId="77777777" w:rsidR="00606F02" w:rsidRDefault="00606F02">
      <w:r>
        <w:separator/>
      </w:r>
    </w:p>
  </w:footnote>
  <w:footnote w:type="continuationSeparator" w:id="0">
    <w:p w14:paraId="3F52A384" w14:textId="77777777" w:rsidR="00606F02" w:rsidRDefault="0060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39142A75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21291D9C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Thursday, </w:t>
    </w:r>
    <w:r w:rsidR="002E78BA">
      <w:rPr>
        <w:rFonts w:ascii="Century Gothic" w:hAnsi="Century Gothic"/>
        <w:sz w:val="27"/>
        <w:szCs w:val="27"/>
      </w:rPr>
      <w:t>November</w:t>
    </w:r>
    <w:r w:rsidR="006D447B">
      <w:rPr>
        <w:rFonts w:ascii="Century Gothic" w:hAnsi="Century Gothic"/>
        <w:sz w:val="27"/>
        <w:szCs w:val="27"/>
      </w:rPr>
      <w:t xml:space="preserve"> </w:t>
    </w:r>
    <w:r w:rsidR="008A44CD">
      <w:rPr>
        <w:rFonts w:ascii="Century Gothic" w:hAnsi="Century Gothic"/>
        <w:sz w:val="27"/>
        <w:szCs w:val="27"/>
      </w:rPr>
      <w:t>1</w:t>
    </w:r>
    <w:r>
      <w:rPr>
        <w:rFonts w:ascii="Century Gothic" w:hAnsi="Century Gothic"/>
        <w:sz w:val="27"/>
        <w:szCs w:val="27"/>
      </w:rPr>
      <w:t>, 201</w:t>
    </w:r>
    <w:r w:rsidR="00841AEC">
      <w:rPr>
        <w:rFonts w:ascii="Century Gothic" w:hAnsi="Century Gothic"/>
        <w:sz w:val="27"/>
        <w:szCs w:val="27"/>
      </w:rPr>
      <w:t>8</w:t>
    </w:r>
  </w:p>
  <w:p w14:paraId="07E58AAC" w14:textId="0F8E9F3D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1:</w:t>
    </w:r>
    <w:r w:rsidR="00174909">
      <w:rPr>
        <w:rFonts w:ascii="Century Gothic" w:hAnsi="Century Gothic"/>
        <w:sz w:val="27"/>
        <w:szCs w:val="27"/>
      </w:rPr>
      <w:t>3</w:t>
    </w:r>
    <w:r>
      <w:rPr>
        <w:rFonts w:ascii="Century Gothic" w:hAnsi="Century Gothic"/>
        <w:sz w:val="27"/>
        <w:szCs w:val="27"/>
      </w:rPr>
      <w:t xml:space="preserve">0 to </w:t>
    </w:r>
    <w:r w:rsidR="00174909">
      <w:rPr>
        <w:rFonts w:ascii="Century Gothic" w:hAnsi="Century Gothic"/>
        <w:sz w:val="27"/>
        <w:szCs w:val="27"/>
      </w:rPr>
      <w:t>3</w:t>
    </w:r>
    <w:r>
      <w:rPr>
        <w:rFonts w:ascii="Century Gothic" w:hAnsi="Century Gothic"/>
        <w:sz w:val="27"/>
        <w:szCs w:val="27"/>
      </w:rPr>
      <w:t>:</w:t>
    </w:r>
    <w:r w:rsidR="00174909">
      <w:rPr>
        <w:rFonts w:ascii="Century Gothic" w:hAnsi="Century Gothic"/>
        <w:sz w:val="27"/>
        <w:szCs w:val="27"/>
      </w:rPr>
      <w:t>15</w:t>
    </w:r>
    <w:r>
      <w:rPr>
        <w:rFonts w:ascii="Century Gothic" w:hAnsi="Century Gothic"/>
        <w:sz w:val="27"/>
        <w:szCs w:val="27"/>
      </w:rPr>
      <w:t xml:space="preserve"> pm</w:t>
    </w:r>
  </w:p>
  <w:p w14:paraId="0C0598D1" w14:textId="01267072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Bldg. 6, Rm. 144</w:t>
    </w:r>
  </w:p>
  <w:p w14:paraId="7D5D3F9C" w14:textId="578D481F" w:rsidR="00442C3C" w:rsidRPr="00F42BD0" w:rsidRDefault="00DD5C66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57DBB"/>
    <w:multiLevelType w:val="hybridMultilevel"/>
    <w:tmpl w:val="7E6E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A3CD1"/>
    <w:multiLevelType w:val="hybridMultilevel"/>
    <w:tmpl w:val="8CD2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431C"/>
    <w:multiLevelType w:val="hybridMultilevel"/>
    <w:tmpl w:val="9974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0412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0087"/>
    <w:multiLevelType w:val="hybridMultilevel"/>
    <w:tmpl w:val="87FA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27D5434C"/>
    <w:multiLevelType w:val="hybridMultilevel"/>
    <w:tmpl w:val="E09E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734CE"/>
    <w:multiLevelType w:val="hybridMultilevel"/>
    <w:tmpl w:val="E02E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A46E8"/>
    <w:multiLevelType w:val="hybridMultilevel"/>
    <w:tmpl w:val="DE7E2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2DB2"/>
    <w:multiLevelType w:val="hybridMultilevel"/>
    <w:tmpl w:val="47D65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E27814"/>
    <w:multiLevelType w:val="hybridMultilevel"/>
    <w:tmpl w:val="54022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CD3189"/>
    <w:multiLevelType w:val="hybridMultilevel"/>
    <w:tmpl w:val="1B063CF6"/>
    <w:lvl w:ilvl="0" w:tplc="17DA8448">
      <w:start w:val="1"/>
      <w:numFmt w:val="decimal"/>
      <w:lvlText w:val="%1."/>
      <w:lvlJc w:val="left"/>
      <w:pPr>
        <w:ind w:left="720" w:hanging="360"/>
      </w:pPr>
    </w:lvl>
    <w:lvl w:ilvl="1" w:tplc="66322A20">
      <w:start w:val="1"/>
      <w:numFmt w:val="lowerLetter"/>
      <w:lvlText w:val="%2."/>
      <w:lvlJc w:val="left"/>
      <w:pPr>
        <w:ind w:left="1440" w:hanging="360"/>
      </w:pPr>
    </w:lvl>
    <w:lvl w:ilvl="2" w:tplc="98F09A28">
      <w:start w:val="1"/>
      <w:numFmt w:val="lowerRoman"/>
      <w:lvlText w:val="%3."/>
      <w:lvlJc w:val="right"/>
      <w:pPr>
        <w:ind w:left="2160" w:hanging="180"/>
      </w:pPr>
    </w:lvl>
    <w:lvl w:ilvl="3" w:tplc="99224B28">
      <w:start w:val="1"/>
      <w:numFmt w:val="decimal"/>
      <w:lvlText w:val="%4."/>
      <w:lvlJc w:val="left"/>
      <w:pPr>
        <w:ind w:left="2880" w:hanging="360"/>
      </w:pPr>
    </w:lvl>
    <w:lvl w:ilvl="4" w:tplc="8DEACF7C">
      <w:start w:val="1"/>
      <w:numFmt w:val="lowerLetter"/>
      <w:lvlText w:val="%5."/>
      <w:lvlJc w:val="left"/>
      <w:pPr>
        <w:ind w:left="3600" w:hanging="360"/>
      </w:pPr>
    </w:lvl>
    <w:lvl w:ilvl="5" w:tplc="774659FA">
      <w:start w:val="1"/>
      <w:numFmt w:val="lowerRoman"/>
      <w:lvlText w:val="%6."/>
      <w:lvlJc w:val="right"/>
      <w:pPr>
        <w:ind w:left="4320" w:hanging="180"/>
      </w:pPr>
    </w:lvl>
    <w:lvl w:ilvl="6" w:tplc="576AD634">
      <w:start w:val="1"/>
      <w:numFmt w:val="decimal"/>
      <w:lvlText w:val="%7."/>
      <w:lvlJc w:val="left"/>
      <w:pPr>
        <w:ind w:left="5040" w:hanging="360"/>
      </w:pPr>
    </w:lvl>
    <w:lvl w:ilvl="7" w:tplc="469C4FF0">
      <w:start w:val="1"/>
      <w:numFmt w:val="lowerLetter"/>
      <w:lvlText w:val="%8."/>
      <w:lvlJc w:val="left"/>
      <w:pPr>
        <w:ind w:left="5760" w:hanging="360"/>
      </w:pPr>
    </w:lvl>
    <w:lvl w:ilvl="8" w:tplc="0FD247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5D65E7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5B650454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72C9"/>
    <w:multiLevelType w:val="hybridMultilevel"/>
    <w:tmpl w:val="3EE2F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85A61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638FB"/>
    <w:multiLevelType w:val="hybridMultilevel"/>
    <w:tmpl w:val="54E8C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40"/>
  </w:num>
  <w:num w:numId="4">
    <w:abstractNumId w:val="11"/>
  </w:num>
  <w:num w:numId="5">
    <w:abstractNumId w:val="6"/>
  </w:num>
  <w:num w:numId="6">
    <w:abstractNumId w:val="34"/>
  </w:num>
  <w:num w:numId="7">
    <w:abstractNumId w:val="31"/>
  </w:num>
  <w:num w:numId="8">
    <w:abstractNumId w:val="48"/>
  </w:num>
  <w:num w:numId="9">
    <w:abstractNumId w:val="16"/>
  </w:num>
  <w:num w:numId="10">
    <w:abstractNumId w:val="10"/>
  </w:num>
  <w:num w:numId="11">
    <w:abstractNumId w:val="42"/>
  </w:num>
  <w:num w:numId="12">
    <w:abstractNumId w:val="43"/>
  </w:num>
  <w:num w:numId="13">
    <w:abstractNumId w:val="18"/>
  </w:num>
  <w:num w:numId="14">
    <w:abstractNumId w:val="3"/>
  </w:num>
  <w:num w:numId="15">
    <w:abstractNumId w:val="29"/>
  </w:num>
  <w:num w:numId="16">
    <w:abstractNumId w:val="32"/>
  </w:num>
  <w:num w:numId="17">
    <w:abstractNumId w:val="26"/>
  </w:num>
  <w:num w:numId="18">
    <w:abstractNumId w:val="8"/>
  </w:num>
  <w:num w:numId="19">
    <w:abstractNumId w:val="41"/>
  </w:num>
  <w:num w:numId="20">
    <w:abstractNumId w:val="35"/>
  </w:num>
  <w:num w:numId="21">
    <w:abstractNumId w:val="4"/>
  </w:num>
  <w:num w:numId="22">
    <w:abstractNumId w:val="9"/>
  </w:num>
  <w:num w:numId="23">
    <w:abstractNumId w:val="19"/>
  </w:num>
  <w:num w:numId="24">
    <w:abstractNumId w:val="23"/>
  </w:num>
  <w:num w:numId="25">
    <w:abstractNumId w:val="0"/>
  </w:num>
  <w:num w:numId="26">
    <w:abstractNumId w:val="15"/>
  </w:num>
  <w:num w:numId="27">
    <w:abstractNumId w:val="12"/>
  </w:num>
  <w:num w:numId="28">
    <w:abstractNumId w:val="47"/>
  </w:num>
  <w:num w:numId="29">
    <w:abstractNumId w:val="22"/>
  </w:num>
  <w:num w:numId="30">
    <w:abstractNumId w:val="44"/>
  </w:num>
  <w:num w:numId="31">
    <w:abstractNumId w:val="25"/>
  </w:num>
  <w:num w:numId="32">
    <w:abstractNumId w:val="1"/>
  </w:num>
  <w:num w:numId="33">
    <w:abstractNumId w:val="46"/>
  </w:num>
  <w:num w:numId="34">
    <w:abstractNumId w:val="36"/>
  </w:num>
  <w:num w:numId="35">
    <w:abstractNumId w:val="33"/>
  </w:num>
  <w:num w:numId="36">
    <w:abstractNumId w:val="20"/>
  </w:num>
  <w:num w:numId="37">
    <w:abstractNumId w:val="2"/>
  </w:num>
  <w:num w:numId="38">
    <w:abstractNumId w:val="5"/>
  </w:num>
  <w:num w:numId="39">
    <w:abstractNumId w:val="7"/>
  </w:num>
  <w:num w:numId="40">
    <w:abstractNumId w:val="39"/>
  </w:num>
  <w:num w:numId="41">
    <w:abstractNumId w:val="28"/>
  </w:num>
  <w:num w:numId="42">
    <w:abstractNumId w:val="30"/>
  </w:num>
  <w:num w:numId="43">
    <w:abstractNumId w:val="37"/>
  </w:num>
  <w:num w:numId="44">
    <w:abstractNumId w:val="38"/>
  </w:num>
  <w:num w:numId="45">
    <w:abstractNumId w:val="17"/>
  </w:num>
  <w:num w:numId="46">
    <w:abstractNumId w:val="24"/>
  </w:num>
  <w:num w:numId="47">
    <w:abstractNumId w:val="21"/>
  </w:num>
  <w:num w:numId="48">
    <w:abstractNumId w:val="4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2724"/>
    <w:rsid w:val="00023B23"/>
    <w:rsid w:val="00024CAD"/>
    <w:rsid w:val="000257AC"/>
    <w:rsid w:val="0002622A"/>
    <w:rsid w:val="00031AAB"/>
    <w:rsid w:val="000372C1"/>
    <w:rsid w:val="000418DA"/>
    <w:rsid w:val="00045A0A"/>
    <w:rsid w:val="00045F00"/>
    <w:rsid w:val="0005082E"/>
    <w:rsid w:val="00052D44"/>
    <w:rsid w:val="00072E23"/>
    <w:rsid w:val="0009435D"/>
    <w:rsid w:val="000A37FE"/>
    <w:rsid w:val="000A3B5F"/>
    <w:rsid w:val="000C550D"/>
    <w:rsid w:val="000C6908"/>
    <w:rsid w:val="000D0C41"/>
    <w:rsid w:val="000D7CE8"/>
    <w:rsid w:val="000E5F3A"/>
    <w:rsid w:val="000E6426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BA0"/>
    <w:rsid w:val="001241E9"/>
    <w:rsid w:val="00135B01"/>
    <w:rsid w:val="001378D8"/>
    <w:rsid w:val="00141FBC"/>
    <w:rsid w:val="001469C0"/>
    <w:rsid w:val="00146D83"/>
    <w:rsid w:val="00146EA7"/>
    <w:rsid w:val="00152BCA"/>
    <w:rsid w:val="001536EF"/>
    <w:rsid w:val="00154297"/>
    <w:rsid w:val="00155B97"/>
    <w:rsid w:val="001616B5"/>
    <w:rsid w:val="00162579"/>
    <w:rsid w:val="00173342"/>
    <w:rsid w:val="00174909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07D6"/>
    <w:rsid w:val="001E4F35"/>
    <w:rsid w:val="001F3B92"/>
    <w:rsid w:val="001F510D"/>
    <w:rsid w:val="00202A3B"/>
    <w:rsid w:val="0020393F"/>
    <w:rsid w:val="0021296E"/>
    <w:rsid w:val="0022460B"/>
    <w:rsid w:val="002404E0"/>
    <w:rsid w:val="00250645"/>
    <w:rsid w:val="00263CD0"/>
    <w:rsid w:val="00274ACC"/>
    <w:rsid w:val="00275591"/>
    <w:rsid w:val="002806E6"/>
    <w:rsid w:val="00287A12"/>
    <w:rsid w:val="00290FFE"/>
    <w:rsid w:val="00294400"/>
    <w:rsid w:val="00297243"/>
    <w:rsid w:val="002A1774"/>
    <w:rsid w:val="002A717A"/>
    <w:rsid w:val="002B1B53"/>
    <w:rsid w:val="002B1CE8"/>
    <w:rsid w:val="002B347F"/>
    <w:rsid w:val="002B55C0"/>
    <w:rsid w:val="002B712C"/>
    <w:rsid w:val="002C179D"/>
    <w:rsid w:val="002D169D"/>
    <w:rsid w:val="002E2225"/>
    <w:rsid w:val="002E517C"/>
    <w:rsid w:val="002E583E"/>
    <w:rsid w:val="002E78BA"/>
    <w:rsid w:val="002F0597"/>
    <w:rsid w:val="00302BBA"/>
    <w:rsid w:val="00303739"/>
    <w:rsid w:val="00305183"/>
    <w:rsid w:val="0030599A"/>
    <w:rsid w:val="0031235A"/>
    <w:rsid w:val="003134E5"/>
    <w:rsid w:val="00314607"/>
    <w:rsid w:val="00314F93"/>
    <w:rsid w:val="003150C4"/>
    <w:rsid w:val="0032069E"/>
    <w:rsid w:val="003239D3"/>
    <w:rsid w:val="00325500"/>
    <w:rsid w:val="003272DA"/>
    <w:rsid w:val="00337CF6"/>
    <w:rsid w:val="00340DCA"/>
    <w:rsid w:val="00340DD0"/>
    <w:rsid w:val="003553F2"/>
    <w:rsid w:val="003579A4"/>
    <w:rsid w:val="003640A4"/>
    <w:rsid w:val="00373028"/>
    <w:rsid w:val="00377ED8"/>
    <w:rsid w:val="003851F0"/>
    <w:rsid w:val="003864B5"/>
    <w:rsid w:val="003A4B97"/>
    <w:rsid w:val="003B1682"/>
    <w:rsid w:val="003B6C5C"/>
    <w:rsid w:val="003C58E9"/>
    <w:rsid w:val="003D1E14"/>
    <w:rsid w:val="003E0C8E"/>
    <w:rsid w:val="003E361F"/>
    <w:rsid w:val="003E5D81"/>
    <w:rsid w:val="00406550"/>
    <w:rsid w:val="00427DFC"/>
    <w:rsid w:val="0043358A"/>
    <w:rsid w:val="00441EC5"/>
    <w:rsid w:val="00442C3C"/>
    <w:rsid w:val="004458E7"/>
    <w:rsid w:val="00446698"/>
    <w:rsid w:val="004474C5"/>
    <w:rsid w:val="00447DE1"/>
    <w:rsid w:val="00452CF9"/>
    <w:rsid w:val="004603F7"/>
    <w:rsid w:val="004737CF"/>
    <w:rsid w:val="00475FD6"/>
    <w:rsid w:val="00476BD8"/>
    <w:rsid w:val="00480C20"/>
    <w:rsid w:val="00485E29"/>
    <w:rsid w:val="0048716A"/>
    <w:rsid w:val="004943FE"/>
    <w:rsid w:val="00496D87"/>
    <w:rsid w:val="004A2F7D"/>
    <w:rsid w:val="004B7022"/>
    <w:rsid w:val="004C49C5"/>
    <w:rsid w:val="004D12B5"/>
    <w:rsid w:val="004D54CD"/>
    <w:rsid w:val="004E4280"/>
    <w:rsid w:val="004F2045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6D75"/>
    <w:rsid w:val="005529BE"/>
    <w:rsid w:val="00552EA0"/>
    <w:rsid w:val="00553238"/>
    <w:rsid w:val="00556BA9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486A"/>
    <w:rsid w:val="005D58C9"/>
    <w:rsid w:val="005F76DA"/>
    <w:rsid w:val="006032F6"/>
    <w:rsid w:val="00603359"/>
    <w:rsid w:val="00606F02"/>
    <w:rsid w:val="00610816"/>
    <w:rsid w:val="006119CA"/>
    <w:rsid w:val="006126F1"/>
    <w:rsid w:val="006132C9"/>
    <w:rsid w:val="006164DC"/>
    <w:rsid w:val="00635464"/>
    <w:rsid w:val="00653062"/>
    <w:rsid w:val="00653CFA"/>
    <w:rsid w:val="0066218E"/>
    <w:rsid w:val="00664AF9"/>
    <w:rsid w:val="0067293C"/>
    <w:rsid w:val="00682F78"/>
    <w:rsid w:val="00683F68"/>
    <w:rsid w:val="00691B22"/>
    <w:rsid w:val="006A265E"/>
    <w:rsid w:val="006A3506"/>
    <w:rsid w:val="006C15A4"/>
    <w:rsid w:val="006C7EF1"/>
    <w:rsid w:val="006D447B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6483"/>
    <w:rsid w:val="00733E3D"/>
    <w:rsid w:val="00742B42"/>
    <w:rsid w:val="00742FC4"/>
    <w:rsid w:val="0074347B"/>
    <w:rsid w:val="00751F06"/>
    <w:rsid w:val="0076079E"/>
    <w:rsid w:val="00777D0D"/>
    <w:rsid w:val="0078414E"/>
    <w:rsid w:val="00787AB1"/>
    <w:rsid w:val="007A07D6"/>
    <w:rsid w:val="007A53EF"/>
    <w:rsid w:val="007A66B4"/>
    <w:rsid w:val="007A6854"/>
    <w:rsid w:val="007A73D9"/>
    <w:rsid w:val="007B2BB6"/>
    <w:rsid w:val="007B51FF"/>
    <w:rsid w:val="007C14A8"/>
    <w:rsid w:val="007C1E83"/>
    <w:rsid w:val="007E3A20"/>
    <w:rsid w:val="007F0AB1"/>
    <w:rsid w:val="007F5F81"/>
    <w:rsid w:val="00805029"/>
    <w:rsid w:val="00807EE4"/>
    <w:rsid w:val="00816543"/>
    <w:rsid w:val="00827354"/>
    <w:rsid w:val="008336D3"/>
    <w:rsid w:val="00841AEC"/>
    <w:rsid w:val="00851063"/>
    <w:rsid w:val="00860963"/>
    <w:rsid w:val="008676BE"/>
    <w:rsid w:val="0087279D"/>
    <w:rsid w:val="00876B15"/>
    <w:rsid w:val="008826DF"/>
    <w:rsid w:val="00882EE7"/>
    <w:rsid w:val="0088767C"/>
    <w:rsid w:val="00887B7A"/>
    <w:rsid w:val="008904DB"/>
    <w:rsid w:val="008919B4"/>
    <w:rsid w:val="00897B59"/>
    <w:rsid w:val="008A44CD"/>
    <w:rsid w:val="008A5489"/>
    <w:rsid w:val="008B34B4"/>
    <w:rsid w:val="008C1F17"/>
    <w:rsid w:val="008C4A95"/>
    <w:rsid w:val="008C7134"/>
    <w:rsid w:val="008D4BFC"/>
    <w:rsid w:val="008D7F94"/>
    <w:rsid w:val="008F0596"/>
    <w:rsid w:val="008F2148"/>
    <w:rsid w:val="00901FDA"/>
    <w:rsid w:val="00906047"/>
    <w:rsid w:val="00907A4F"/>
    <w:rsid w:val="00913142"/>
    <w:rsid w:val="00915042"/>
    <w:rsid w:val="00915916"/>
    <w:rsid w:val="00921A4F"/>
    <w:rsid w:val="009256D5"/>
    <w:rsid w:val="00930023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0640"/>
    <w:rsid w:val="00980A42"/>
    <w:rsid w:val="009845E1"/>
    <w:rsid w:val="00984E09"/>
    <w:rsid w:val="00986E9D"/>
    <w:rsid w:val="009909BD"/>
    <w:rsid w:val="00995044"/>
    <w:rsid w:val="009A214F"/>
    <w:rsid w:val="009A59EF"/>
    <w:rsid w:val="009A6E8E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5EE2"/>
    <w:rsid w:val="00A23242"/>
    <w:rsid w:val="00A2324E"/>
    <w:rsid w:val="00A26952"/>
    <w:rsid w:val="00A32D48"/>
    <w:rsid w:val="00A33E09"/>
    <w:rsid w:val="00A41EBA"/>
    <w:rsid w:val="00A42A01"/>
    <w:rsid w:val="00A431AF"/>
    <w:rsid w:val="00A454C0"/>
    <w:rsid w:val="00A4663D"/>
    <w:rsid w:val="00A50379"/>
    <w:rsid w:val="00A50FFF"/>
    <w:rsid w:val="00A511BE"/>
    <w:rsid w:val="00A5141C"/>
    <w:rsid w:val="00A51739"/>
    <w:rsid w:val="00A57B96"/>
    <w:rsid w:val="00A61552"/>
    <w:rsid w:val="00A62451"/>
    <w:rsid w:val="00A7661A"/>
    <w:rsid w:val="00A76970"/>
    <w:rsid w:val="00A77043"/>
    <w:rsid w:val="00A77813"/>
    <w:rsid w:val="00A8013F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B3A1A"/>
    <w:rsid w:val="00AC13C1"/>
    <w:rsid w:val="00AC455A"/>
    <w:rsid w:val="00AC7F29"/>
    <w:rsid w:val="00AD0C86"/>
    <w:rsid w:val="00AD2358"/>
    <w:rsid w:val="00AD7949"/>
    <w:rsid w:val="00AE322F"/>
    <w:rsid w:val="00AE68E6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2D1"/>
    <w:rsid w:val="00B577FB"/>
    <w:rsid w:val="00B610C6"/>
    <w:rsid w:val="00B63EBD"/>
    <w:rsid w:val="00B67342"/>
    <w:rsid w:val="00B67838"/>
    <w:rsid w:val="00B7571E"/>
    <w:rsid w:val="00B84660"/>
    <w:rsid w:val="00B85DAA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1691"/>
    <w:rsid w:val="00BB3746"/>
    <w:rsid w:val="00BC5A15"/>
    <w:rsid w:val="00BC7B46"/>
    <w:rsid w:val="00BD279C"/>
    <w:rsid w:val="00BD7D00"/>
    <w:rsid w:val="00BE3610"/>
    <w:rsid w:val="00BE4EF3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B5790"/>
    <w:rsid w:val="00CB7025"/>
    <w:rsid w:val="00CC36FF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057DA"/>
    <w:rsid w:val="00D133F8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7411A"/>
    <w:rsid w:val="00D753AD"/>
    <w:rsid w:val="00D80FD3"/>
    <w:rsid w:val="00D823AD"/>
    <w:rsid w:val="00D9145D"/>
    <w:rsid w:val="00D9354C"/>
    <w:rsid w:val="00D93A49"/>
    <w:rsid w:val="00DA0342"/>
    <w:rsid w:val="00DA28AD"/>
    <w:rsid w:val="00DA2C19"/>
    <w:rsid w:val="00DA6721"/>
    <w:rsid w:val="00DA6CD3"/>
    <w:rsid w:val="00DA73AC"/>
    <w:rsid w:val="00DA7E4E"/>
    <w:rsid w:val="00DB236E"/>
    <w:rsid w:val="00DB37F5"/>
    <w:rsid w:val="00DB610A"/>
    <w:rsid w:val="00DB7BE2"/>
    <w:rsid w:val="00DC0FF5"/>
    <w:rsid w:val="00DC53FB"/>
    <w:rsid w:val="00DD0303"/>
    <w:rsid w:val="00DD049C"/>
    <w:rsid w:val="00DD0F63"/>
    <w:rsid w:val="00DD20B7"/>
    <w:rsid w:val="00DD5C66"/>
    <w:rsid w:val="00DE05EC"/>
    <w:rsid w:val="00DE1B3A"/>
    <w:rsid w:val="00DE602F"/>
    <w:rsid w:val="00DE7DAD"/>
    <w:rsid w:val="00DF176E"/>
    <w:rsid w:val="00DF25F9"/>
    <w:rsid w:val="00DF3E7B"/>
    <w:rsid w:val="00DF7673"/>
    <w:rsid w:val="00E0160C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38B8"/>
    <w:rsid w:val="00E55BE5"/>
    <w:rsid w:val="00E56AEC"/>
    <w:rsid w:val="00E60C15"/>
    <w:rsid w:val="00E728C1"/>
    <w:rsid w:val="00E750D2"/>
    <w:rsid w:val="00E76650"/>
    <w:rsid w:val="00E76B9B"/>
    <w:rsid w:val="00E94905"/>
    <w:rsid w:val="00EA6722"/>
    <w:rsid w:val="00EB15F7"/>
    <w:rsid w:val="00EB1DAF"/>
    <w:rsid w:val="00EB27EE"/>
    <w:rsid w:val="00EB4E2B"/>
    <w:rsid w:val="00EB6297"/>
    <w:rsid w:val="00EB6D95"/>
    <w:rsid w:val="00EC11FD"/>
    <w:rsid w:val="00EC5214"/>
    <w:rsid w:val="00EC652A"/>
    <w:rsid w:val="00EC727F"/>
    <w:rsid w:val="00EC7C81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4C30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  <w:style w:type="paragraph" w:styleId="NoSpacing">
    <w:name w:val="No Spacing"/>
    <w:uiPriority w:val="1"/>
    <w:qFormat/>
    <w:rsid w:val="00476BD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34A5-B6C6-42D4-B196-2DFC434E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539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14</cp:revision>
  <cp:lastPrinted>2018-10-26T19:34:00Z</cp:lastPrinted>
  <dcterms:created xsi:type="dcterms:W3CDTF">2018-11-10T00:07:00Z</dcterms:created>
  <dcterms:modified xsi:type="dcterms:W3CDTF">2019-03-08T23:19:00Z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