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2694229C" w:rsidR="00AD7949" w:rsidRPr="00737B52" w:rsidRDefault="00737B52" w:rsidP="00C85E01">
            <w:pPr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723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0B94C512" w:rsidR="00AD7949" w:rsidRPr="00742FC4" w:rsidRDefault="00737B52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71EB39BF" w:rsidR="00AD7949" w:rsidRPr="00737B52" w:rsidRDefault="00737B52" w:rsidP="007C14A8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AD7949" w:rsidRPr="0009435D" w:rsidRDefault="0009435D" w:rsidP="00BD7D00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0A7748EE" w:rsidR="00AD7949" w:rsidRPr="00742FC4" w:rsidRDefault="00737B52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5A89C22E" w:rsidR="00AD7949" w:rsidRPr="00737B52" w:rsidRDefault="00737B52" w:rsidP="007C14A8">
            <w:pPr>
              <w:jc w:val="center"/>
              <w:rPr>
                <w:rFonts w:ascii="Century Gothic" w:hAnsi="Century Gothic" w:cs="Arial"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18"/>
              </w:rPr>
              <w:t>A</w:t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77777777" w:rsidR="00AD7949" w:rsidRPr="00742FC4" w:rsidRDefault="00AD7949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788" w:type="dxa"/>
            <w:vAlign w:val="center"/>
          </w:tcPr>
          <w:p w14:paraId="74B3AB90" w14:textId="0AD64134" w:rsidR="00AD7949" w:rsidRPr="00972F5D" w:rsidRDefault="00AD7949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D7949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6559098F" w:rsidR="00AD7949" w:rsidRPr="00742FC4" w:rsidRDefault="00737B52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723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23D0961E" w:rsidR="00AD7949" w:rsidRPr="00742FC4" w:rsidRDefault="00737B52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578" w:type="dxa"/>
            <w:vAlign w:val="center"/>
          </w:tcPr>
          <w:p w14:paraId="6BB48B08" w14:textId="3790A6D6" w:rsidR="00AD7949" w:rsidRPr="00860963" w:rsidRDefault="00DB610A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Dan </w:t>
            </w:r>
            <w:proofErr w:type="spellStart"/>
            <w:r>
              <w:rPr>
                <w:rFonts w:ascii="Century Gothic" w:hAnsi="Century Gothic" w:cs="Arial"/>
                <w:sz w:val="18"/>
              </w:rPr>
              <w:t>McGeough</w:t>
            </w:r>
            <w:proofErr w:type="spellEnd"/>
          </w:p>
        </w:tc>
        <w:tc>
          <w:tcPr>
            <w:tcW w:w="316" w:type="dxa"/>
            <w:vAlign w:val="center"/>
          </w:tcPr>
          <w:p w14:paraId="08469318" w14:textId="141BD2EB" w:rsidR="00AD7949" w:rsidRPr="00742FC4" w:rsidRDefault="00737B52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683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1D3597D9" w:rsidR="00AD7949" w:rsidRPr="00742FC4" w:rsidRDefault="00737B52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2C0F1AF4" w:rsidR="00AD7949" w:rsidRPr="00742FC4" w:rsidRDefault="00737B52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 w:rsidRPr="00737B52">
              <w:rPr>
                <w:rFonts w:ascii="Century Gothic" w:hAnsi="Century Gothic" w:cs="Arial"/>
                <w:bCs/>
                <w:sz w:val="22"/>
                <w:szCs w:val="22"/>
              </w:rPr>
              <w:t>√</w:t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4500"/>
        <w:gridCol w:w="7015"/>
      </w:tblGrid>
      <w:tr w:rsidR="00000CE3" w:rsidRPr="00E5205A" w14:paraId="15859F66" w14:textId="77777777" w:rsidTr="00436606">
        <w:trPr>
          <w:trHeight w:val="432"/>
          <w:jc w:val="center"/>
        </w:trPr>
        <w:tc>
          <w:tcPr>
            <w:tcW w:w="2516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500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7015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436606">
        <w:trPr>
          <w:jc w:val="center"/>
        </w:trPr>
        <w:tc>
          <w:tcPr>
            <w:tcW w:w="2516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47C6EB09" w14:textId="77777777" w:rsidR="0030599A" w:rsidRDefault="00275591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  <w:p w14:paraId="0F02BA20" w14:textId="1554AD31" w:rsidR="00592FAF" w:rsidRPr="00B17634" w:rsidRDefault="00592FAF" w:rsidP="00592FA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7015" w:type="dxa"/>
            <w:vAlign w:val="center"/>
          </w:tcPr>
          <w:p w14:paraId="3FAB06BD" w14:textId="77777777" w:rsidR="005B7AB5" w:rsidRDefault="00737B52" w:rsidP="00737B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Minutes from May 4, 2017 were approved with one change.</w:t>
            </w:r>
          </w:p>
          <w:p w14:paraId="76AB24A7" w14:textId="0FF1C420" w:rsidR="00737B52" w:rsidRPr="00737B52" w:rsidRDefault="00737B52" w:rsidP="00737B5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PDC members will review minutes prior to each meeting beginning with 2017-18.</w:t>
            </w:r>
          </w:p>
        </w:tc>
      </w:tr>
      <w:tr w:rsidR="00562DCA" w:rsidRPr="00E5205A" w14:paraId="02693C3D" w14:textId="77777777" w:rsidTr="00436606">
        <w:trPr>
          <w:jc w:val="center"/>
        </w:trPr>
        <w:tc>
          <w:tcPr>
            <w:tcW w:w="2516" w:type="dxa"/>
          </w:tcPr>
          <w:p w14:paraId="36D907C0" w14:textId="30A8870C" w:rsidR="00562DCA" w:rsidRPr="00EC5214" w:rsidRDefault="00562DCA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  <w:p w14:paraId="6921D727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31675445" w14:textId="5916D2A7" w:rsidR="00562DCA" w:rsidRDefault="00337CF6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Great Staff</w:t>
            </w:r>
          </w:p>
          <w:p w14:paraId="6FC2D0E7" w14:textId="10063473" w:rsidR="00A93D9F" w:rsidRDefault="00337CF6" w:rsidP="00FD749B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New Employee Welcome</w:t>
            </w:r>
          </w:p>
          <w:p w14:paraId="42AFF8B1" w14:textId="77777777" w:rsidR="00337CF6" w:rsidRDefault="00337CF6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CPD-Day Planning </w:t>
            </w:r>
          </w:p>
          <w:p w14:paraId="5247DB8B" w14:textId="0EA85FF3" w:rsidR="004A2F7D" w:rsidRPr="00FD749B" w:rsidRDefault="004A2F7D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Goals and Objectives Summary to be completed in June 2017</w:t>
            </w:r>
          </w:p>
        </w:tc>
        <w:tc>
          <w:tcPr>
            <w:tcW w:w="7015" w:type="dxa"/>
            <w:vAlign w:val="center"/>
          </w:tcPr>
          <w:p w14:paraId="63735BF1" w14:textId="77777777" w:rsidR="00562DCA" w:rsidRDefault="00737B52" w:rsidP="00737B5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Great Staff retreat went very well, it was a successful event.</w:t>
            </w:r>
          </w:p>
          <w:p w14:paraId="332F38E4" w14:textId="0D8A0C6D" w:rsidR="00737B52" w:rsidRDefault="00737B52" w:rsidP="00737B5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New Employee Welcome event is one week awa</w:t>
            </w:r>
            <w:r w:rsidR="00E66A43">
              <w:rPr>
                <w:rFonts w:ascii="Century Gothic" w:hAnsi="Century Gothic" w:cs="Arial"/>
                <w:bCs/>
                <w:iCs/>
                <w:sz w:val="20"/>
              </w:rPr>
              <w:t>y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, Friday, June 9, 2017. We anticipate there will be 60+ participants.  Hoping</w:t>
            </w:r>
            <w:r w:rsidR="00436606">
              <w:rPr>
                <w:rFonts w:ascii="Century Gothic" w:hAnsi="Century Gothic" w:cs="Arial"/>
                <w:bCs/>
                <w:iCs/>
                <w:sz w:val="20"/>
              </w:rPr>
              <w:t xml:space="preserve"> next </w:t>
            </w:r>
            <w:r w:rsidR="00B9088F">
              <w:rPr>
                <w:rFonts w:ascii="Century Gothic" w:hAnsi="Century Gothic" w:cs="Arial"/>
                <w:bCs/>
                <w:iCs/>
                <w:sz w:val="20"/>
              </w:rPr>
              <w:t>y</w:t>
            </w:r>
            <w:r w:rsidR="00436606">
              <w:rPr>
                <w:rFonts w:ascii="Century Gothic" w:hAnsi="Century Gothic" w:cs="Arial"/>
                <w:bCs/>
                <w:iCs/>
                <w:sz w:val="20"/>
              </w:rPr>
              <w:t>ear to include new managers and new faculty.</w:t>
            </w:r>
          </w:p>
          <w:p w14:paraId="50505CCC" w14:textId="77777777" w:rsidR="00436606" w:rsidRDefault="00B9088F" w:rsidP="00737B5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Classified Professional Development Day is in the planning stage, a call for proposals announcement went out to the campus.</w:t>
            </w:r>
          </w:p>
          <w:p w14:paraId="7095F8DD" w14:textId="09583268" w:rsidR="00B9088F" w:rsidRDefault="00B9088F" w:rsidP="00B9088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CPDC reviewed their goals and objectives but have not finalized.</w:t>
            </w:r>
          </w:p>
          <w:p w14:paraId="29BE3E50" w14:textId="055C92BA" w:rsidR="00B9088F" w:rsidRPr="00737B52" w:rsidRDefault="00B9088F" w:rsidP="00B9088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CPDC and FPDC will bring their goals and objectives in the fall for PDC to review</w:t>
            </w:r>
          </w:p>
        </w:tc>
      </w:tr>
      <w:tr w:rsidR="00562DCA" w:rsidRPr="00E5205A" w14:paraId="7B7F8CD0" w14:textId="77777777" w:rsidTr="00436606">
        <w:trPr>
          <w:jc w:val="center"/>
        </w:trPr>
        <w:tc>
          <w:tcPr>
            <w:tcW w:w="2516" w:type="dxa"/>
          </w:tcPr>
          <w:p w14:paraId="3F0B1EC0" w14:textId="4BF106E6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  <w:p w14:paraId="6E9DC3B3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DED03DB" w14:textId="053FE7A0" w:rsidR="00562DCA" w:rsidRDefault="004A2F7D" w:rsidP="00146D83">
            <w:pPr>
              <w:pStyle w:val="BodyText2"/>
              <w:numPr>
                <w:ilvl w:val="0"/>
                <w:numId w:val="21"/>
              </w:numPr>
              <w:ind w:left="3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Goals and Objectives Summary</w:t>
            </w:r>
          </w:p>
          <w:p w14:paraId="46B1C0D2" w14:textId="77777777" w:rsidR="00592FAF" w:rsidRDefault="004A2F7D" w:rsidP="00592FAF">
            <w:pPr>
              <w:pStyle w:val="BodyText2"/>
              <w:numPr>
                <w:ilvl w:val="0"/>
                <w:numId w:val="21"/>
              </w:numPr>
              <w:ind w:left="3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FLEX Day Focus Group</w:t>
            </w:r>
          </w:p>
          <w:p w14:paraId="3569A43D" w14:textId="4FDCB5EF" w:rsidR="00E66A43" w:rsidRPr="00592FAF" w:rsidRDefault="00E66A43" w:rsidP="00E66A43">
            <w:pPr>
              <w:pStyle w:val="BodyText2"/>
              <w:ind w:left="342"/>
              <w:rPr>
                <w:rFonts w:ascii="Century Gothic" w:hAnsi="Century Gothic"/>
                <w:szCs w:val="20"/>
              </w:rPr>
            </w:pPr>
          </w:p>
        </w:tc>
        <w:tc>
          <w:tcPr>
            <w:tcW w:w="7015" w:type="dxa"/>
            <w:vAlign w:val="center"/>
          </w:tcPr>
          <w:p w14:paraId="77933758" w14:textId="77777777" w:rsidR="00562DCA" w:rsidRPr="00B9088F" w:rsidRDefault="00B9088F" w:rsidP="00B9088F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B9088F">
              <w:rPr>
                <w:rFonts w:ascii="Century Gothic" w:hAnsi="Century Gothic" w:cs="Arial"/>
                <w:bCs/>
                <w:iCs/>
                <w:sz w:val="20"/>
              </w:rPr>
              <w:t>FPDC  put together their goals and objectives</w:t>
            </w:r>
          </w:p>
          <w:p w14:paraId="3D4CE612" w14:textId="77777777" w:rsidR="00B9088F" w:rsidRPr="00B9088F" w:rsidRDefault="00B9088F" w:rsidP="00B9088F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 w:rsidRPr="00B9088F">
              <w:rPr>
                <w:rFonts w:ascii="Century Gothic" w:hAnsi="Century Gothic" w:cs="Arial"/>
                <w:bCs/>
                <w:iCs/>
                <w:sz w:val="20"/>
              </w:rPr>
              <w:t>FPDC proposed a FLEX Day focus group; they will be compiling a survey to send out to the campus.</w:t>
            </w:r>
          </w:p>
          <w:p w14:paraId="30CE7587" w14:textId="339D86E6" w:rsidR="00B9088F" w:rsidRPr="00496D87" w:rsidRDefault="00B9088F" w:rsidP="00B9088F">
            <w:pPr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</w:tr>
      <w:tr w:rsidR="00562DCA" w:rsidRPr="00E5205A" w14:paraId="39EF07FE" w14:textId="77777777" w:rsidTr="00436606">
        <w:trPr>
          <w:jc w:val="center"/>
        </w:trPr>
        <w:tc>
          <w:tcPr>
            <w:tcW w:w="2516" w:type="dxa"/>
          </w:tcPr>
          <w:p w14:paraId="45AFE8AD" w14:textId="486575C7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  <w:p w14:paraId="724C3872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B8183DA" w14:textId="77777777" w:rsidR="00A62451" w:rsidRDefault="009256D5" w:rsidP="004A2F7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Upcoming Management </w:t>
            </w:r>
            <w:r w:rsidR="004A2F7D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Training</w:t>
            </w:r>
          </w:p>
          <w:p w14:paraId="711E5FD4" w14:textId="32AC447F" w:rsidR="004A2F7D" w:rsidRPr="003E5D81" w:rsidRDefault="004A2F7D" w:rsidP="004A2F7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MPDC Planning Retreat</w:t>
            </w:r>
          </w:p>
        </w:tc>
        <w:tc>
          <w:tcPr>
            <w:tcW w:w="7015" w:type="dxa"/>
            <w:vAlign w:val="center"/>
          </w:tcPr>
          <w:p w14:paraId="354F2FF1" w14:textId="1A695731" w:rsidR="00562DCA" w:rsidRPr="00B9088F" w:rsidRDefault="00B9088F" w:rsidP="00B9088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MPDC is considering to do a quarterly blast t</w:t>
            </w:r>
            <w:r w:rsidR="002C7BEF">
              <w:rPr>
                <w:rFonts w:ascii="Century Gothic" w:hAnsi="Century Gothic" w:cs="Arial"/>
                <w:bCs/>
                <w:iCs/>
                <w:sz w:val="20"/>
              </w:rPr>
              <w:t>r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aining</w:t>
            </w:r>
            <w:r w:rsidR="002C7BEF">
              <w:rPr>
                <w:rFonts w:ascii="Century Gothic" w:hAnsi="Century Gothic" w:cs="Arial"/>
                <w:bCs/>
                <w:iCs/>
                <w:sz w:val="20"/>
              </w:rPr>
              <w:t xml:space="preserve"> announcement/flyer with upcoming training for management.</w:t>
            </w:r>
          </w:p>
        </w:tc>
      </w:tr>
      <w:tr w:rsidR="00562DCA" w:rsidRPr="00E5205A" w14:paraId="18D16A1F" w14:textId="77777777" w:rsidTr="00436606">
        <w:trPr>
          <w:trHeight w:val="440"/>
          <w:jc w:val="center"/>
        </w:trPr>
        <w:tc>
          <w:tcPr>
            <w:tcW w:w="2516" w:type="dxa"/>
          </w:tcPr>
          <w:p w14:paraId="21A69959" w14:textId="0506BC6A" w:rsidR="00562DCA" w:rsidRDefault="00562DCA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POD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 Report &amp; Business</w:t>
            </w:r>
          </w:p>
          <w:p w14:paraId="6820A06A" w14:textId="77777777" w:rsidR="00562DCA" w:rsidRDefault="00562DCA" w:rsidP="00887B7A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E4DB8C0" w14:textId="645AC3C6" w:rsidR="00A93D9F" w:rsidRDefault="004A2F7D" w:rsidP="004A2F7D">
            <w:pPr>
              <w:pStyle w:val="BodyText2"/>
              <w:numPr>
                <w:ilvl w:val="0"/>
                <w:numId w:val="3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 Progress</w:t>
            </w:r>
          </w:p>
          <w:p w14:paraId="46B6E710" w14:textId="19B0AD3C" w:rsidR="00AD2358" w:rsidRPr="00562DCA" w:rsidRDefault="00AD2358" w:rsidP="009256D5">
            <w:pPr>
              <w:pStyle w:val="BodyText2"/>
              <w:ind w:left="360"/>
              <w:rPr>
                <w:rFonts w:ascii="Century Gothic" w:hAnsi="Century Gothic"/>
                <w:bCs/>
                <w:iCs/>
                <w:szCs w:val="20"/>
              </w:rPr>
            </w:pPr>
          </w:p>
        </w:tc>
        <w:tc>
          <w:tcPr>
            <w:tcW w:w="7015" w:type="dxa"/>
            <w:vAlign w:val="center"/>
          </w:tcPr>
          <w:p w14:paraId="71CB2182" w14:textId="5707E0BA" w:rsidR="00562DCA" w:rsidRDefault="002C7BEF" w:rsidP="002C7BEF">
            <w:pPr>
              <w:pStyle w:val="BodyText2"/>
              <w:numPr>
                <w:ilvl w:val="0"/>
                <w:numId w:val="3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 Learning Academy new space – the work has begun, should be finished by end of summer.  Hoping to use </w:t>
            </w:r>
            <w:r w:rsidR="00541201">
              <w:rPr>
                <w:rFonts w:ascii="Century Gothic" w:hAnsi="Century Gothic"/>
              </w:rPr>
              <w:t xml:space="preserve">new space </w:t>
            </w:r>
            <w:r>
              <w:rPr>
                <w:rFonts w:ascii="Century Gothic" w:hAnsi="Century Gothic"/>
              </w:rPr>
              <w:t>for faculty to meet in groups of 6-8.</w:t>
            </w:r>
          </w:p>
        </w:tc>
      </w:tr>
      <w:tr w:rsidR="00A51739" w:rsidRPr="00E5205A" w14:paraId="7BE54644" w14:textId="77777777" w:rsidTr="00436606">
        <w:trPr>
          <w:trHeight w:val="440"/>
          <w:jc w:val="center"/>
        </w:trPr>
        <w:tc>
          <w:tcPr>
            <w:tcW w:w="2516" w:type="dxa"/>
          </w:tcPr>
          <w:p w14:paraId="3047A446" w14:textId="25C59F82" w:rsidR="00A51739" w:rsidRPr="002F0597" w:rsidRDefault="00A51739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Conference and Travel</w:t>
            </w:r>
          </w:p>
        </w:tc>
        <w:tc>
          <w:tcPr>
            <w:tcW w:w="4500" w:type="dxa"/>
          </w:tcPr>
          <w:p w14:paraId="102D6B72" w14:textId="77777777" w:rsidR="004A2F7D" w:rsidRPr="004A2F7D" w:rsidRDefault="009256D5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 xml:space="preserve">C&amp;T Summary Report </w:t>
            </w:r>
            <w:r w:rsidR="004A2F7D">
              <w:rPr>
                <w:rFonts w:ascii="Century Gothic" w:hAnsi="Century Gothic"/>
                <w:bCs/>
                <w:iCs/>
                <w:szCs w:val="20"/>
              </w:rPr>
              <w:t>16-17</w:t>
            </w:r>
          </w:p>
          <w:p w14:paraId="3D743092" w14:textId="7141A888" w:rsidR="009256D5" w:rsidRDefault="004A2F7D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C &amp; T Summary Update 17-18</w:t>
            </w:r>
            <w:r w:rsidR="009256D5">
              <w:rPr>
                <w:rFonts w:ascii="Century Gothic" w:hAnsi="Century Gothic"/>
              </w:rPr>
              <w:t xml:space="preserve"> </w:t>
            </w:r>
          </w:p>
          <w:p w14:paraId="4775CF05" w14:textId="383E1A41" w:rsidR="00A51739" w:rsidRDefault="004A2F7D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AB1887 Travel Ban</w:t>
            </w:r>
          </w:p>
        </w:tc>
        <w:tc>
          <w:tcPr>
            <w:tcW w:w="7015" w:type="dxa"/>
            <w:vAlign w:val="center"/>
          </w:tcPr>
          <w:p w14:paraId="1BE7A0AD" w14:textId="77777777" w:rsidR="00A51739" w:rsidRDefault="00E66A43" w:rsidP="00E66A4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2016-17 had $29,000 of unused C&amp;T funds</w:t>
            </w:r>
          </w:p>
          <w:p w14:paraId="04173793" w14:textId="77777777" w:rsidR="00E66A43" w:rsidRDefault="00E66A43" w:rsidP="00E66A43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2017-18 PDC has already approved C7T requests in the amount of approximately $14,000.  It was suggested to include the amounts for cancelled requests on the status updates for all to see.</w:t>
            </w:r>
          </w:p>
          <w:p w14:paraId="04F3235E" w14:textId="77777777" w:rsidR="00E66A43" w:rsidRDefault="005D296C" w:rsidP="001C1B57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Assembly Bill 1887 that went into effect in January which prohibit</w:t>
            </w:r>
            <w:r w:rsidR="001C1B57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travel to states that have laws that are discriminatory, Kansas, Miss</w:t>
            </w:r>
            <w:r w:rsidR="001C1B57">
              <w:rPr>
                <w:rFonts w:ascii="Century Gothic" w:hAnsi="Century Gothic"/>
              </w:rPr>
              <w:t>issippi,</w:t>
            </w:r>
            <w:r>
              <w:rPr>
                <w:rFonts w:ascii="Century Gothic" w:hAnsi="Century Gothic"/>
              </w:rPr>
              <w:t xml:space="preserve"> </w:t>
            </w:r>
            <w:r w:rsidR="001C1B57">
              <w:rPr>
                <w:rFonts w:ascii="Century Gothic" w:hAnsi="Century Gothic"/>
              </w:rPr>
              <w:t xml:space="preserve">North Carolina, and Tennessee </w:t>
            </w:r>
            <w:r>
              <w:rPr>
                <w:rFonts w:ascii="Century Gothic" w:hAnsi="Century Gothic"/>
              </w:rPr>
              <w:t>cannot use state funds to travel to these areas.  It specifies UC’s</w:t>
            </w:r>
            <w:r w:rsidR="001C1B57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</w:t>
            </w:r>
            <w:r w:rsidR="001C1B57">
              <w:rPr>
                <w:rFonts w:ascii="Century Gothic" w:hAnsi="Century Gothic"/>
              </w:rPr>
              <w:t xml:space="preserve">border regions and Cal </w:t>
            </w:r>
            <w:r w:rsidR="001C1B57">
              <w:rPr>
                <w:rFonts w:ascii="Century Gothic" w:hAnsi="Century Gothic"/>
              </w:rPr>
              <w:lastRenderedPageBreak/>
              <w:t xml:space="preserve">states </w:t>
            </w:r>
            <w:r>
              <w:rPr>
                <w:rFonts w:ascii="Century Gothic" w:hAnsi="Century Gothic"/>
              </w:rPr>
              <w:t>but</w:t>
            </w:r>
            <w:r w:rsidR="001C1B57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it does not specify community colleges.  It is unclear in that matter.  Lianne is asking for clarification</w:t>
            </w:r>
            <w:r w:rsidR="001C1B57">
              <w:rPr>
                <w:rFonts w:ascii="Century Gothic" w:hAnsi="Century Gothic"/>
              </w:rPr>
              <w:t xml:space="preserve"> on behalf of PDC.  Asked for a review and the communication process.  Hoping to have an answer by fall.</w:t>
            </w:r>
            <w:r>
              <w:rPr>
                <w:rFonts w:ascii="Century Gothic" w:hAnsi="Century Gothic"/>
              </w:rPr>
              <w:t xml:space="preserve"> </w:t>
            </w:r>
            <w:r w:rsidR="00E42B06">
              <w:rPr>
                <w:rFonts w:ascii="Century Gothic" w:hAnsi="Century Gothic"/>
              </w:rPr>
              <w:t xml:space="preserve"> </w:t>
            </w:r>
          </w:p>
          <w:p w14:paraId="0D93D87F" w14:textId="1C829470" w:rsidR="00E42B06" w:rsidRDefault="00E42B06" w:rsidP="001C1B57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Maria will send to PDC the link which includes the frequently asked questions in regards to the AB 1887 (travel ban).</w:t>
            </w:r>
          </w:p>
        </w:tc>
      </w:tr>
      <w:tr w:rsidR="00562DCA" w:rsidRPr="00E5205A" w14:paraId="265FB16D" w14:textId="77777777" w:rsidTr="00436606">
        <w:trPr>
          <w:trHeight w:val="746"/>
          <w:jc w:val="center"/>
        </w:trPr>
        <w:tc>
          <w:tcPr>
            <w:tcW w:w="2516" w:type="dxa"/>
          </w:tcPr>
          <w:p w14:paraId="7CFFA08E" w14:textId="397FA74B" w:rsidR="00562DCA" w:rsidRPr="00FC51FC" w:rsidRDefault="00562DCA" w:rsidP="00EB6D95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PDC Updates &amp; Business</w:t>
            </w:r>
          </w:p>
        </w:tc>
        <w:tc>
          <w:tcPr>
            <w:tcW w:w="4500" w:type="dxa"/>
          </w:tcPr>
          <w:p w14:paraId="7BD6C277" w14:textId="78EF3B20" w:rsidR="004A2F7D" w:rsidRDefault="004A2F7D" w:rsidP="00AD2358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PDC Committee Goals 16-17 Summary Brainstorm</w:t>
            </w:r>
          </w:p>
          <w:p w14:paraId="15980332" w14:textId="0BCD0A5C" w:rsidR="00AD2358" w:rsidRDefault="004A2F7D" w:rsidP="00AD2358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PDC Planning Retreat Agenda </w:t>
            </w:r>
          </w:p>
          <w:p w14:paraId="333AB109" w14:textId="41820302" w:rsidR="00AB1BE7" w:rsidRPr="009256D5" w:rsidRDefault="00AB1BE7" w:rsidP="004A2F7D">
            <w:pPr>
              <w:pStyle w:val="ListParagraph"/>
              <w:ind w:left="36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  <w:tc>
          <w:tcPr>
            <w:tcW w:w="7015" w:type="dxa"/>
            <w:vAlign w:val="center"/>
          </w:tcPr>
          <w:p w14:paraId="39F29060" w14:textId="77777777" w:rsidR="00562DCA" w:rsidRDefault="002A0EF1" w:rsidP="002A0EF1">
            <w:pPr>
              <w:pStyle w:val="BodyText2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PDC goals and objectives 16-17 summary, PDC complied list of outcomes and accomplishments to finalize report.</w:t>
            </w:r>
          </w:p>
          <w:p w14:paraId="29998838" w14:textId="77777777" w:rsidR="005A74DB" w:rsidRDefault="005A74DB" w:rsidP="002A0EF1">
            <w:pPr>
              <w:pStyle w:val="BodyText2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PDC retreat will be held on June 15, 2017.</w:t>
            </w:r>
          </w:p>
          <w:p w14:paraId="6DA6783D" w14:textId="7B522150" w:rsidR="005A74DB" w:rsidRPr="00E5205A" w:rsidRDefault="005A74DB" w:rsidP="005A74DB">
            <w:pPr>
              <w:pStyle w:val="BodyText2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Retreat draft agenda has been put together to include the following topics: conference and travel process clarification, purpose and function, annual goals, and professional development plan update.</w:t>
            </w:r>
          </w:p>
        </w:tc>
      </w:tr>
      <w:tr w:rsidR="00562DCA" w:rsidRPr="00E5205A" w14:paraId="5D14070B" w14:textId="77777777" w:rsidTr="00436606">
        <w:trPr>
          <w:trHeight w:val="63"/>
          <w:jc w:val="center"/>
        </w:trPr>
        <w:tc>
          <w:tcPr>
            <w:tcW w:w="2516" w:type="dxa"/>
          </w:tcPr>
          <w:p w14:paraId="4F17131A" w14:textId="020BA1EA" w:rsidR="00562DCA" w:rsidRDefault="00562DCA" w:rsidP="00FC51F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Other Related Business and Reports</w:t>
            </w:r>
          </w:p>
        </w:tc>
        <w:tc>
          <w:tcPr>
            <w:tcW w:w="4500" w:type="dxa"/>
          </w:tcPr>
          <w:p w14:paraId="43449B6B" w14:textId="42880D93" w:rsidR="00D823AD" w:rsidRDefault="00D823AD" w:rsidP="008C4A95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</w:p>
        </w:tc>
        <w:tc>
          <w:tcPr>
            <w:tcW w:w="7015" w:type="dxa"/>
            <w:vAlign w:val="center"/>
          </w:tcPr>
          <w:p w14:paraId="23F125E5" w14:textId="77777777" w:rsidR="00562DCA" w:rsidRDefault="002A0EF1" w:rsidP="002A0EF1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Learning Team received an award from Academic Senate today.</w:t>
            </w:r>
          </w:p>
          <w:p w14:paraId="3A0B42F2" w14:textId="18D4E224" w:rsidR="002A0EF1" w:rsidRDefault="002A0EF1" w:rsidP="005D102F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Academic Senate has passed a recommendation regarding sustainability.  One of their recommendations is</w:t>
            </w:r>
            <w:r w:rsidR="006070AA">
              <w:rPr>
                <w:rFonts w:ascii="Century Gothic" w:hAnsi="Century Gothic"/>
              </w:rPr>
              <w:t xml:space="preserve"> to</w:t>
            </w:r>
            <w:r>
              <w:rPr>
                <w:rFonts w:ascii="Century Gothic" w:hAnsi="Century Gothic"/>
              </w:rPr>
              <w:t xml:space="preserve"> integrate sustainability into professional development.  To support curriculum integrations and other work to move the campus toward a net zero carbon emissions “the sustainability promise” </w:t>
            </w:r>
            <w:r w:rsidR="00A60667">
              <w:rPr>
                <w:rFonts w:ascii="Century Gothic" w:hAnsi="Century Gothic"/>
              </w:rPr>
              <w:t xml:space="preserve">necessary to provide professional development opportunities to meet the needs of faculty and others.  </w:t>
            </w:r>
            <w:r w:rsidR="006070AA">
              <w:rPr>
                <w:rFonts w:ascii="Century Gothic" w:hAnsi="Century Gothic"/>
              </w:rPr>
              <w:t xml:space="preserve">Senate also approved our Basic Skills proposals.  </w:t>
            </w:r>
            <w:r w:rsidR="005D102F">
              <w:rPr>
                <w:rFonts w:ascii="Century Gothic" w:hAnsi="Century Gothic"/>
              </w:rPr>
              <w:t>Could these sessions be that they have wider meaning, they may be they are that specific.  There is no engagement with faculty professional development coordinator involved with these trainings.</w:t>
            </w:r>
            <w:r w:rsidR="001F66D9">
              <w:rPr>
                <w:rFonts w:ascii="Century Gothic" w:hAnsi="Century Gothic"/>
              </w:rPr>
              <w:t xml:space="preserve">  Liesel will get an electronic copy </w:t>
            </w:r>
            <w:r w:rsidR="005A74DB">
              <w:rPr>
                <w:rFonts w:ascii="Century Gothic" w:hAnsi="Century Gothic"/>
              </w:rPr>
              <w:t xml:space="preserve">to share </w:t>
            </w:r>
            <w:r w:rsidR="001F66D9">
              <w:rPr>
                <w:rFonts w:ascii="Century Gothic" w:hAnsi="Century Gothic"/>
              </w:rPr>
              <w:t>with more information with the line items to see how they are designating</w:t>
            </w:r>
            <w:r w:rsidR="006070AA">
              <w:rPr>
                <w:rFonts w:ascii="Century Gothic" w:hAnsi="Century Gothic"/>
              </w:rPr>
              <w:t xml:space="preserve"> </w:t>
            </w:r>
            <w:r w:rsidR="001F66D9">
              <w:rPr>
                <w:rFonts w:ascii="Century Gothic" w:hAnsi="Century Gothic"/>
              </w:rPr>
              <w:t>it for PT or FT to pay people to attend professional development.  It would be helpful to know they are paying people to attend as well as paying them to present.</w:t>
            </w:r>
          </w:p>
        </w:tc>
      </w:tr>
    </w:tbl>
    <w:p w14:paraId="289ABECC" w14:textId="0EFF9525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118038F4" w:rsidR="00B17634" w:rsidRPr="00FB0A9C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4A2F7D" w:rsidRPr="004967B8">
        <w:rPr>
          <w:rFonts w:ascii="Century Gothic" w:hAnsi="Century Gothic" w:cs="Arial"/>
          <w:sz w:val="22"/>
          <w:szCs w:val="22"/>
        </w:rPr>
        <w:t xml:space="preserve">PDC Planning Retreat </w:t>
      </w:r>
      <w:r w:rsidR="0009435D">
        <w:rPr>
          <w:rFonts w:ascii="Century Gothic" w:hAnsi="Century Gothic" w:cs="Arial"/>
          <w:sz w:val="22"/>
          <w:szCs w:val="22"/>
        </w:rPr>
        <w:t>June 15, 2017, 11:00 AM – 4:00 PM</w:t>
      </w:r>
    </w:p>
    <w:sectPr w:rsidR="00B17634" w:rsidRPr="00FB0A9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A994" w14:textId="77777777" w:rsidR="001D59F5" w:rsidRDefault="001D59F5">
      <w:r>
        <w:separator/>
      </w:r>
    </w:p>
  </w:endnote>
  <w:endnote w:type="continuationSeparator" w:id="0">
    <w:p w14:paraId="5421E99B" w14:textId="77777777" w:rsidR="001D59F5" w:rsidRDefault="001D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3AA9287C" w:rsidR="002C7BEF" w:rsidRDefault="002C7B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D63E" w14:textId="77777777" w:rsidR="001D59F5" w:rsidRDefault="001D59F5">
      <w:r>
        <w:separator/>
      </w:r>
    </w:p>
  </w:footnote>
  <w:footnote w:type="continuationSeparator" w:id="0">
    <w:p w14:paraId="6E270C40" w14:textId="77777777" w:rsidR="001D59F5" w:rsidRDefault="001D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317F3496" w:rsidR="002C7BEF" w:rsidRDefault="002C7BEF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7E5B72EB" w:rsidR="002C7BEF" w:rsidRDefault="002C7BEF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Thursday, June 1, 2017</w:t>
    </w:r>
  </w:p>
  <w:p w14:paraId="07E58AAC" w14:textId="77777777" w:rsidR="002C7BEF" w:rsidRDefault="002C7BEF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1:30 to 3:15 pm</w:t>
    </w:r>
  </w:p>
  <w:p w14:paraId="0C0598D1" w14:textId="01267072" w:rsidR="002C7BEF" w:rsidRDefault="002C7BEF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Bldg. 6, Rm. 144</w:t>
    </w:r>
  </w:p>
  <w:p w14:paraId="7D5D3F9C" w14:textId="27B352FB" w:rsidR="002C7BEF" w:rsidRPr="00F42BD0" w:rsidRDefault="002C7BEF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7B38A44A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4CEC5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0087"/>
    <w:multiLevelType w:val="hybridMultilevel"/>
    <w:tmpl w:val="D2769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B72CF"/>
    <w:multiLevelType w:val="hybridMultilevel"/>
    <w:tmpl w:val="D0248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D17BB"/>
    <w:multiLevelType w:val="hybridMultilevel"/>
    <w:tmpl w:val="0BBA5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27814"/>
    <w:multiLevelType w:val="hybridMultilevel"/>
    <w:tmpl w:val="18C6CE1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15644"/>
    <w:multiLevelType w:val="hybridMultilevel"/>
    <w:tmpl w:val="69BCAF16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A670A"/>
    <w:multiLevelType w:val="hybridMultilevel"/>
    <w:tmpl w:val="AC46A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8"/>
  </w:num>
  <w:num w:numId="5">
    <w:abstractNumId w:val="4"/>
  </w:num>
  <w:num w:numId="6">
    <w:abstractNumId w:val="26"/>
  </w:num>
  <w:num w:numId="7">
    <w:abstractNumId w:val="23"/>
  </w:num>
  <w:num w:numId="8">
    <w:abstractNumId w:val="37"/>
  </w:num>
  <w:num w:numId="9">
    <w:abstractNumId w:val="12"/>
  </w:num>
  <w:num w:numId="10">
    <w:abstractNumId w:val="7"/>
  </w:num>
  <w:num w:numId="11">
    <w:abstractNumId w:val="32"/>
  </w:num>
  <w:num w:numId="12">
    <w:abstractNumId w:val="33"/>
  </w:num>
  <w:num w:numId="13">
    <w:abstractNumId w:val="13"/>
  </w:num>
  <w:num w:numId="14">
    <w:abstractNumId w:val="2"/>
  </w:num>
  <w:num w:numId="15">
    <w:abstractNumId w:val="22"/>
  </w:num>
  <w:num w:numId="16">
    <w:abstractNumId w:val="24"/>
  </w:num>
  <w:num w:numId="17">
    <w:abstractNumId w:val="20"/>
  </w:num>
  <w:num w:numId="18">
    <w:abstractNumId w:val="5"/>
  </w:num>
  <w:num w:numId="19">
    <w:abstractNumId w:val="31"/>
  </w:num>
  <w:num w:numId="20">
    <w:abstractNumId w:val="27"/>
  </w:num>
  <w:num w:numId="21">
    <w:abstractNumId w:val="3"/>
  </w:num>
  <w:num w:numId="22">
    <w:abstractNumId w:val="6"/>
  </w:num>
  <w:num w:numId="23">
    <w:abstractNumId w:val="14"/>
  </w:num>
  <w:num w:numId="24">
    <w:abstractNumId w:val="18"/>
  </w:num>
  <w:num w:numId="25">
    <w:abstractNumId w:val="0"/>
  </w:num>
  <w:num w:numId="26">
    <w:abstractNumId w:val="11"/>
  </w:num>
  <w:num w:numId="27">
    <w:abstractNumId w:val="9"/>
  </w:num>
  <w:num w:numId="28">
    <w:abstractNumId w:val="36"/>
  </w:num>
  <w:num w:numId="29">
    <w:abstractNumId w:val="17"/>
  </w:num>
  <w:num w:numId="30">
    <w:abstractNumId w:val="34"/>
  </w:num>
  <w:num w:numId="31">
    <w:abstractNumId w:val="19"/>
  </w:num>
  <w:num w:numId="32">
    <w:abstractNumId w:val="1"/>
  </w:num>
  <w:num w:numId="33">
    <w:abstractNumId w:val="35"/>
  </w:num>
  <w:num w:numId="34">
    <w:abstractNumId w:val="29"/>
  </w:num>
  <w:num w:numId="35">
    <w:abstractNumId w:val="25"/>
  </w:num>
  <w:num w:numId="36">
    <w:abstractNumId w:val="16"/>
  </w:num>
  <w:num w:numId="37">
    <w:abstractNumId w:val="2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2724"/>
    <w:rsid w:val="00023B23"/>
    <w:rsid w:val="00024CAD"/>
    <w:rsid w:val="000257AC"/>
    <w:rsid w:val="0002622A"/>
    <w:rsid w:val="00031AAB"/>
    <w:rsid w:val="000372C1"/>
    <w:rsid w:val="000418DA"/>
    <w:rsid w:val="00045F00"/>
    <w:rsid w:val="0005082E"/>
    <w:rsid w:val="00072E23"/>
    <w:rsid w:val="0009435D"/>
    <w:rsid w:val="000A37FE"/>
    <w:rsid w:val="000A3B5F"/>
    <w:rsid w:val="000C1B50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BA0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6AE4"/>
    <w:rsid w:val="00183A52"/>
    <w:rsid w:val="00187911"/>
    <w:rsid w:val="00194B1D"/>
    <w:rsid w:val="001956EA"/>
    <w:rsid w:val="001A0991"/>
    <w:rsid w:val="001A4F7B"/>
    <w:rsid w:val="001A5853"/>
    <w:rsid w:val="001A6129"/>
    <w:rsid w:val="001A69D1"/>
    <w:rsid w:val="001B2F74"/>
    <w:rsid w:val="001C0A86"/>
    <w:rsid w:val="001C1B57"/>
    <w:rsid w:val="001C4881"/>
    <w:rsid w:val="001D1C5A"/>
    <w:rsid w:val="001D3562"/>
    <w:rsid w:val="001D59F5"/>
    <w:rsid w:val="001E4F35"/>
    <w:rsid w:val="001F3B92"/>
    <w:rsid w:val="001F510D"/>
    <w:rsid w:val="001F66D9"/>
    <w:rsid w:val="0020393F"/>
    <w:rsid w:val="0021296E"/>
    <w:rsid w:val="0022460B"/>
    <w:rsid w:val="00236E04"/>
    <w:rsid w:val="002404E0"/>
    <w:rsid w:val="00250645"/>
    <w:rsid w:val="00263CD0"/>
    <w:rsid w:val="00274ACC"/>
    <w:rsid w:val="00275591"/>
    <w:rsid w:val="002806E6"/>
    <w:rsid w:val="00287A12"/>
    <w:rsid w:val="002A0EF1"/>
    <w:rsid w:val="002A1774"/>
    <w:rsid w:val="002A717A"/>
    <w:rsid w:val="002B1B53"/>
    <w:rsid w:val="002B347F"/>
    <w:rsid w:val="002B55C0"/>
    <w:rsid w:val="002B712C"/>
    <w:rsid w:val="002C179D"/>
    <w:rsid w:val="002C4EE0"/>
    <w:rsid w:val="002C7BEF"/>
    <w:rsid w:val="002D169D"/>
    <w:rsid w:val="002E2225"/>
    <w:rsid w:val="002E517C"/>
    <w:rsid w:val="002E583E"/>
    <w:rsid w:val="002F0597"/>
    <w:rsid w:val="00303739"/>
    <w:rsid w:val="00305183"/>
    <w:rsid w:val="0030599A"/>
    <w:rsid w:val="0031235A"/>
    <w:rsid w:val="003134E5"/>
    <w:rsid w:val="00314607"/>
    <w:rsid w:val="003150C4"/>
    <w:rsid w:val="0032069E"/>
    <w:rsid w:val="003239D3"/>
    <w:rsid w:val="00337CF6"/>
    <w:rsid w:val="00340DCA"/>
    <w:rsid w:val="00340DD0"/>
    <w:rsid w:val="003579A4"/>
    <w:rsid w:val="003640A4"/>
    <w:rsid w:val="00373028"/>
    <w:rsid w:val="00377ED8"/>
    <w:rsid w:val="003851F0"/>
    <w:rsid w:val="003864B5"/>
    <w:rsid w:val="003A4B97"/>
    <w:rsid w:val="003B1682"/>
    <w:rsid w:val="003C58E9"/>
    <w:rsid w:val="003D1E14"/>
    <w:rsid w:val="003D794D"/>
    <w:rsid w:val="003E0C8E"/>
    <w:rsid w:val="003E361F"/>
    <w:rsid w:val="003E5D81"/>
    <w:rsid w:val="00406550"/>
    <w:rsid w:val="00427DFC"/>
    <w:rsid w:val="0043358A"/>
    <w:rsid w:val="00436606"/>
    <w:rsid w:val="00441EC5"/>
    <w:rsid w:val="00442C3C"/>
    <w:rsid w:val="00446698"/>
    <w:rsid w:val="00447DE1"/>
    <w:rsid w:val="004603F7"/>
    <w:rsid w:val="00475FD6"/>
    <w:rsid w:val="00480C20"/>
    <w:rsid w:val="00485E29"/>
    <w:rsid w:val="0048716A"/>
    <w:rsid w:val="0049363E"/>
    <w:rsid w:val="004943FE"/>
    <w:rsid w:val="004967B8"/>
    <w:rsid w:val="00496D87"/>
    <w:rsid w:val="004A2F7D"/>
    <w:rsid w:val="004B7022"/>
    <w:rsid w:val="004C49C5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1201"/>
    <w:rsid w:val="00546D75"/>
    <w:rsid w:val="005529BE"/>
    <w:rsid w:val="00552EA0"/>
    <w:rsid w:val="00553238"/>
    <w:rsid w:val="005570CA"/>
    <w:rsid w:val="0056174D"/>
    <w:rsid w:val="00562DCA"/>
    <w:rsid w:val="005649F0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4DB"/>
    <w:rsid w:val="005A7D04"/>
    <w:rsid w:val="005B417A"/>
    <w:rsid w:val="005B7AB5"/>
    <w:rsid w:val="005C486A"/>
    <w:rsid w:val="005D102F"/>
    <w:rsid w:val="005D296C"/>
    <w:rsid w:val="005D58C9"/>
    <w:rsid w:val="005F76DA"/>
    <w:rsid w:val="006032F6"/>
    <w:rsid w:val="006070AA"/>
    <w:rsid w:val="00610816"/>
    <w:rsid w:val="006119CA"/>
    <w:rsid w:val="006126F1"/>
    <w:rsid w:val="006132C9"/>
    <w:rsid w:val="006164DC"/>
    <w:rsid w:val="00635464"/>
    <w:rsid w:val="00653062"/>
    <w:rsid w:val="00653CFA"/>
    <w:rsid w:val="0066218E"/>
    <w:rsid w:val="00664AF9"/>
    <w:rsid w:val="0067293C"/>
    <w:rsid w:val="00691B22"/>
    <w:rsid w:val="006A265E"/>
    <w:rsid w:val="006A3506"/>
    <w:rsid w:val="006C15A4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6483"/>
    <w:rsid w:val="00733E3D"/>
    <w:rsid w:val="00737B52"/>
    <w:rsid w:val="00742B42"/>
    <w:rsid w:val="00742FC4"/>
    <w:rsid w:val="0074347B"/>
    <w:rsid w:val="00751F06"/>
    <w:rsid w:val="00777D0D"/>
    <w:rsid w:val="00787AB1"/>
    <w:rsid w:val="007A07D6"/>
    <w:rsid w:val="007A53EF"/>
    <w:rsid w:val="007A66B4"/>
    <w:rsid w:val="007A6854"/>
    <w:rsid w:val="007A73D9"/>
    <w:rsid w:val="007B2BB6"/>
    <w:rsid w:val="007B51FF"/>
    <w:rsid w:val="007C14A8"/>
    <w:rsid w:val="007C1E83"/>
    <w:rsid w:val="007F0AB1"/>
    <w:rsid w:val="00805029"/>
    <w:rsid w:val="00816543"/>
    <w:rsid w:val="00827354"/>
    <w:rsid w:val="008336D3"/>
    <w:rsid w:val="00851063"/>
    <w:rsid w:val="0085437D"/>
    <w:rsid w:val="00860963"/>
    <w:rsid w:val="008676BE"/>
    <w:rsid w:val="0087279D"/>
    <w:rsid w:val="00876B15"/>
    <w:rsid w:val="008826DF"/>
    <w:rsid w:val="00882EE7"/>
    <w:rsid w:val="0088767C"/>
    <w:rsid w:val="00887B7A"/>
    <w:rsid w:val="008904DB"/>
    <w:rsid w:val="008919B4"/>
    <w:rsid w:val="00897B59"/>
    <w:rsid w:val="008A5489"/>
    <w:rsid w:val="008C1F17"/>
    <w:rsid w:val="008C4A95"/>
    <w:rsid w:val="008C7134"/>
    <w:rsid w:val="008D4BFC"/>
    <w:rsid w:val="008D7F94"/>
    <w:rsid w:val="008F0596"/>
    <w:rsid w:val="008F2148"/>
    <w:rsid w:val="00901FDA"/>
    <w:rsid w:val="00906047"/>
    <w:rsid w:val="00907A4F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3757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45E1"/>
    <w:rsid w:val="00984E09"/>
    <w:rsid w:val="00986E9D"/>
    <w:rsid w:val="009909BD"/>
    <w:rsid w:val="00995044"/>
    <w:rsid w:val="009A214F"/>
    <w:rsid w:val="009A6E8E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580C"/>
    <w:rsid w:val="00A02CF3"/>
    <w:rsid w:val="00A07109"/>
    <w:rsid w:val="00A072C6"/>
    <w:rsid w:val="00A15EE2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0667"/>
    <w:rsid w:val="00A62451"/>
    <w:rsid w:val="00A7661A"/>
    <w:rsid w:val="00A76970"/>
    <w:rsid w:val="00A8013F"/>
    <w:rsid w:val="00A915B6"/>
    <w:rsid w:val="00A92B0D"/>
    <w:rsid w:val="00A93D9F"/>
    <w:rsid w:val="00A96DF8"/>
    <w:rsid w:val="00A97A20"/>
    <w:rsid w:val="00A97C36"/>
    <w:rsid w:val="00AA3B8D"/>
    <w:rsid w:val="00AA4363"/>
    <w:rsid w:val="00AA5C94"/>
    <w:rsid w:val="00AA74E7"/>
    <w:rsid w:val="00AB1BE7"/>
    <w:rsid w:val="00AB3164"/>
    <w:rsid w:val="00AC13C1"/>
    <w:rsid w:val="00AC455A"/>
    <w:rsid w:val="00AC7F29"/>
    <w:rsid w:val="00AD0C86"/>
    <w:rsid w:val="00AD2358"/>
    <w:rsid w:val="00AD7949"/>
    <w:rsid w:val="00AE322F"/>
    <w:rsid w:val="00AE68E6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7FB"/>
    <w:rsid w:val="00B63EBD"/>
    <w:rsid w:val="00B67342"/>
    <w:rsid w:val="00B7571E"/>
    <w:rsid w:val="00B84660"/>
    <w:rsid w:val="00B85EF3"/>
    <w:rsid w:val="00B86A19"/>
    <w:rsid w:val="00B87AC5"/>
    <w:rsid w:val="00B9088F"/>
    <w:rsid w:val="00B90E5B"/>
    <w:rsid w:val="00B92335"/>
    <w:rsid w:val="00B97B31"/>
    <w:rsid w:val="00BA1862"/>
    <w:rsid w:val="00BA4C44"/>
    <w:rsid w:val="00BA76C2"/>
    <w:rsid w:val="00BB3746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573A"/>
    <w:rsid w:val="00C2135B"/>
    <w:rsid w:val="00C21AE7"/>
    <w:rsid w:val="00C260F9"/>
    <w:rsid w:val="00C33265"/>
    <w:rsid w:val="00C356C0"/>
    <w:rsid w:val="00C40C50"/>
    <w:rsid w:val="00C41659"/>
    <w:rsid w:val="00C416AA"/>
    <w:rsid w:val="00C523E1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133F8"/>
    <w:rsid w:val="00D204CB"/>
    <w:rsid w:val="00D3140E"/>
    <w:rsid w:val="00D3179C"/>
    <w:rsid w:val="00D3318E"/>
    <w:rsid w:val="00D3433B"/>
    <w:rsid w:val="00D351D7"/>
    <w:rsid w:val="00D36B46"/>
    <w:rsid w:val="00D37415"/>
    <w:rsid w:val="00D468CF"/>
    <w:rsid w:val="00D7411A"/>
    <w:rsid w:val="00D753AD"/>
    <w:rsid w:val="00D80FD3"/>
    <w:rsid w:val="00D823AD"/>
    <w:rsid w:val="00D9354C"/>
    <w:rsid w:val="00DA0342"/>
    <w:rsid w:val="00DA2C19"/>
    <w:rsid w:val="00DA6CD3"/>
    <w:rsid w:val="00DA73AC"/>
    <w:rsid w:val="00DB236E"/>
    <w:rsid w:val="00DB37F5"/>
    <w:rsid w:val="00DB610A"/>
    <w:rsid w:val="00DB7BE2"/>
    <w:rsid w:val="00DC0FF5"/>
    <w:rsid w:val="00DC53FB"/>
    <w:rsid w:val="00DD0303"/>
    <w:rsid w:val="00DD049C"/>
    <w:rsid w:val="00DD0F63"/>
    <w:rsid w:val="00DD20B7"/>
    <w:rsid w:val="00DE05EC"/>
    <w:rsid w:val="00DE1B3A"/>
    <w:rsid w:val="00DE602F"/>
    <w:rsid w:val="00DF176E"/>
    <w:rsid w:val="00DF25F9"/>
    <w:rsid w:val="00DF3E7B"/>
    <w:rsid w:val="00DF7673"/>
    <w:rsid w:val="00E05B94"/>
    <w:rsid w:val="00E07E91"/>
    <w:rsid w:val="00E136CF"/>
    <w:rsid w:val="00E15967"/>
    <w:rsid w:val="00E228B0"/>
    <w:rsid w:val="00E23F09"/>
    <w:rsid w:val="00E37814"/>
    <w:rsid w:val="00E42B06"/>
    <w:rsid w:val="00E5205A"/>
    <w:rsid w:val="00E528B2"/>
    <w:rsid w:val="00E55BE5"/>
    <w:rsid w:val="00E56AEC"/>
    <w:rsid w:val="00E60C15"/>
    <w:rsid w:val="00E66A43"/>
    <w:rsid w:val="00E728C1"/>
    <w:rsid w:val="00E750D2"/>
    <w:rsid w:val="00E76B9B"/>
    <w:rsid w:val="00E94905"/>
    <w:rsid w:val="00EA6722"/>
    <w:rsid w:val="00EB15F7"/>
    <w:rsid w:val="00EB27EE"/>
    <w:rsid w:val="00EB4E2B"/>
    <w:rsid w:val="00EB6297"/>
    <w:rsid w:val="00EB6D95"/>
    <w:rsid w:val="00EC11FD"/>
    <w:rsid w:val="00EC5214"/>
    <w:rsid w:val="00EC652A"/>
    <w:rsid w:val="00EC727F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14BD6E75-CC46-486B-83CF-8B55692F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9F24-40B3-48B3-9CC8-41CDB04C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652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7</cp:revision>
  <cp:lastPrinted>2017-07-18T23:31:00Z</cp:lastPrinted>
  <dcterms:created xsi:type="dcterms:W3CDTF">2017-06-06T15:40:00Z</dcterms:created>
  <dcterms:modified xsi:type="dcterms:W3CDTF">2019-03-08T23:23:00Z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