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EDF4" w14:textId="63B7F75F" w:rsidR="0054263E" w:rsidRPr="000D6C47" w:rsidRDefault="0054263E" w:rsidP="000D6C47">
      <w:pPr>
        <w:pStyle w:val="ListParagraph"/>
        <w:numPr>
          <w:ilvl w:val="0"/>
          <w:numId w:val="2"/>
        </w:numPr>
        <w:tabs>
          <w:tab w:val="left" w:pos="4600"/>
        </w:tabs>
        <w:rPr>
          <w:rFonts w:ascii="Arial" w:hAnsi="Arial" w:cs="Arial"/>
        </w:rPr>
      </w:pPr>
      <w:r w:rsidRPr="004E19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1FC21" wp14:editId="1E421E49">
                <wp:simplePos x="0" y="0"/>
                <wp:positionH relativeFrom="column">
                  <wp:posOffset>43180</wp:posOffset>
                </wp:positionH>
                <wp:positionV relativeFrom="paragraph">
                  <wp:posOffset>-406400</wp:posOffset>
                </wp:positionV>
                <wp:extent cx="1955165" cy="1214755"/>
                <wp:effectExtent l="3175" t="1905" r="381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93C02" w14:textId="77777777" w:rsidR="0054263E" w:rsidRDefault="0054263E" w:rsidP="005426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CAD1BE" wp14:editId="5EDD548B">
                                  <wp:extent cx="1762125" cy="125730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2125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251FC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.4pt;margin-top:-32pt;width:153.95pt;height:9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" stroked="f">
                <v:textbox>
                  <w:txbxContent>
                    <w:p w14:paraId="4D493C02" w14:textId="77777777" w:rsidR="0054263E" w:rsidRDefault="0054263E" w:rsidP="0054263E">
                      <w:r>
                        <w:rPr>
                          <w:noProof/>
                        </w:rPr>
                        <w:drawing>
                          <wp:inline distT="0" distB="0" distL="0" distR="0" wp14:anchorId="6BCAD1BE" wp14:editId="5EDD548B">
                            <wp:extent cx="1762125" cy="125730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2125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19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09503" wp14:editId="6AB1714C">
                <wp:simplePos x="0" y="0"/>
                <wp:positionH relativeFrom="column">
                  <wp:posOffset>1196340</wp:posOffset>
                </wp:positionH>
                <wp:positionV relativeFrom="paragraph">
                  <wp:posOffset>162560</wp:posOffset>
                </wp:positionV>
                <wp:extent cx="7200900" cy="0"/>
                <wp:effectExtent l="22860" t="22225" r="15240" b="158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DBF1C4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12.8pt" to="661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" strokeweight="2.25pt"/>
            </w:pict>
          </mc:Fallback>
        </mc:AlternateContent>
      </w:r>
    </w:p>
    <w:p w14:paraId="0D8FEB60" w14:textId="77777777" w:rsidR="0054263E" w:rsidRPr="004E1948" w:rsidRDefault="0054263E" w:rsidP="0054263E">
      <w:pPr>
        <w:rPr>
          <w:rFonts w:ascii="Arial" w:hAnsi="Arial" w:cs="Arial"/>
        </w:rPr>
      </w:pPr>
    </w:p>
    <w:p w14:paraId="654582C3" w14:textId="77777777" w:rsidR="0054263E" w:rsidRPr="004E1948" w:rsidRDefault="0054263E" w:rsidP="0054263E">
      <w:pPr>
        <w:ind w:left="3060"/>
        <w:jc w:val="center"/>
        <w:rPr>
          <w:rFonts w:ascii="Arial" w:hAnsi="Arial" w:cs="Arial"/>
          <w:b/>
          <w:sz w:val="32"/>
        </w:rPr>
      </w:pPr>
      <w:r w:rsidRPr="004E1948">
        <w:rPr>
          <w:rFonts w:ascii="Arial" w:hAnsi="Arial" w:cs="Arial"/>
          <w:b/>
          <w:sz w:val="32"/>
        </w:rPr>
        <w:t>Committee Goal</w:t>
      </w:r>
      <w:r>
        <w:rPr>
          <w:rFonts w:ascii="Arial" w:hAnsi="Arial" w:cs="Arial"/>
          <w:b/>
          <w:sz w:val="32"/>
        </w:rPr>
        <w:t>s</w:t>
      </w:r>
      <w:r w:rsidRPr="004E1948">
        <w:rPr>
          <w:rFonts w:ascii="Arial" w:hAnsi="Arial" w:cs="Arial"/>
          <w:b/>
          <w:sz w:val="32"/>
        </w:rPr>
        <w:t xml:space="preserve"> and Progress Report</w:t>
      </w:r>
    </w:p>
    <w:p w14:paraId="36B65838" w14:textId="3037FA66" w:rsidR="0054263E" w:rsidRPr="00EF23A9" w:rsidRDefault="0054263E" w:rsidP="0054263E">
      <w:pPr>
        <w:ind w:left="306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202</w:t>
      </w:r>
      <w:r w:rsidR="00115653">
        <w:rPr>
          <w:rFonts w:ascii="Arial" w:hAnsi="Arial" w:cs="Arial"/>
          <w:b/>
          <w:sz w:val="32"/>
        </w:rPr>
        <w:t>4</w:t>
      </w:r>
      <w:r>
        <w:rPr>
          <w:rFonts w:ascii="Arial" w:hAnsi="Arial" w:cs="Arial"/>
          <w:b/>
          <w:sz w:val="32"/>
        </w:rPr>
        <w:t>-2</w:t>
      </w:r>
      <w:r w:rsidR="00115653">
        <w:rPr>
          <w:rFonts w:ascii="Arial" w:hAnsi="Arial" w:cs="Arial"/>
          <w:b/>
          <w:sz w:val="32"/>
        </w:rPr>
        <w:t>6</w:t>
      </w:r>
    </w:p>
    <w:p w14:paraId="0C632CF8" w14:textId="5C861E46" w:rsidR="0054263E" w:rsidRPr="004E1948" w:rsidRDefault="0054263E" w:rsidP="0054263E">
      <w:pPr>
        <w:spacing w:line="240" w:lineRule="auto"/>
        <w:rPr>
          <w:rFonts w:ascii="Arial" w:hAnsi="Arial" w:cs="Arial"/>
          <w:b/>
          <w:i/>
          <w:sz w:val="28"/>
          <w:u w:val="single"/>
        </w:rPr>
      </w:pPr>
      <w:r w:rsidRPr="004E1948">
        <w:rPr>
          <w:rFonts w:ascii="Arial" w:hAnsi="Arial" w:cs="Arial"/>
          <w:b/>
          <w:i/>
          <w:sz w:val="28"/>
        </w:rPr>
        <w:t>Committee name:</w:t>
      </w:r>
      <w:r>
        <w:rPr>
          <w:rFonts w:ascii="Arial" w:hAnsi="Arial" w:cs="Arial"/>
          <w:b/>
          <w:i/>
          <w:sz w:val="28"/>
        </w:rPr>
        <w:t xml:space="preserve"> </w:t>
      </w:r>
      <w:r w:rsidRPr="001C264B">
        <w:rPr>
          <w:rFonts w:ascii="Arial" w:hAnsi="Arial" w:cs="Arial"/>
          <w:sz w:val="28"/>
          <w:u w:val="single"/>
        </w:rPr>
        <w:tab/>
      </w:r>
      <w:r w:rsidRPr="001C264B">
        <w:rPr>
          <w:rFonts w:ascii="Arial" w:hAnsi="Arial" w:cs="Arial"/>
          <w:sz w:val="28"/>
          <w:u w:val="single"/>
        </w:rPr>
        <w:tab/>
      </w:r>
      <w:r w:rsidR="00872AA0">
        <w:rPr>
          <w:rFonts w:ascii="Arial" w:hAnsi="Arial" w:cs="Arial"/>
          <w:sz w:val="28"/>
          <w:u w:val="single"/>
        </w:rPr>
        <w:t>Police and Campus Safety Advisory Committee</w:t>
      </w:r>
      <w:r w:rsidR="0074719F">
        <w:rPr>
          <w:rFonts w:ascii="Arial" w:hAnsi="Arial" w:cs="Arial"/>
          <w:sz w:val="28"/>
          <w:u w:val="single"/>
        </w:rPr>
        <w:tab/>
      </w:r>
      <w:r w:rsidR="0074719F">
        <w:rPr>
          <w:rFonts w:ascii="Arial" w:hAnsi="Arial" w:cs="Arial"/>
          <w:sz w:val="28"/>
          <w:u w:val="single"/>
        </w:rPr>
        <w:tab/>
      </w:r>
    </w:p>
    <w:p w14:paraId="53C0EAA7" w14:textId="77777777" w:rsidR="0054263E" w:rsidRDefault="0054263E" w:rsidP="0054263E">
      <w:pPr>
        <w:tabs>
          <w:tab w:val="left" w:pos="8640"/>
        </w:tabs>
        <w:spacing w:line="240" w:lineRule="auto"/>
        <w:rPr>
          <w:rFonts w:ascii="Arial" w:hAnsi="Arial" w:cs="Arial"/>
          <w:b/>
          <w:i/>
          <w:sz w:val="28"/>
        </w:rPr>
      </w:pPr>
    </w:p>
    <w:p w14:paraId="2AF6EA3A" w14:textId="109CAC02" w:rsidR="0054263E" w:rsidRPr="0090477F" w:rsidRDefault="0054263E" w:rsidP="0054263E">
      <w:pPr>
        <w:tabs>
          <w:tab w:val="left" w:pos="8640"/>
        </w:tabs>
        <w:spacing w:line="240" w:lineRule="auto"/>
        <w:rPr>
          <w:rFonts w:ascii="Arial" w:hAnsi="Arial" w:cs="Arial"/>
          <w:b/>
          <w:i/>
          <w:sz w:val="28"/>
        </w:rPr>
      </w:pPr>
      <w:r w:rsidRPr="004E1948">
        <w:rPr>
          <w:rFonts w:ascii="Arial" w:hAnsi="Arial" w:cs="Arial"/>
          <w:b/>
          <w:i/>
          <w:sz w:val="28"/>
        </w:rPr>
        <w:t xml:space="preserve">Name of person completing the report: </w:t>
      </w:r>
      <w:r>
        <w:rPr>
          <w:rFonts w:ascii="Arial" w:hAnsi="Arial" w:cs="Arial"/>
          <w:sz w:val="28"/>
          <w:u w:val="single"/>
        </w:rPr>
        <w:t xml:space="preserve"> </w:t>
      </w:r>
      <w:r w:rsidR="00872AA0">
        <w:rPr>
          <w:rFonts w:ascii="Arial" w:hAnsi="Arial" w:cs="Arial"/>
          <w:sz w:val="28"/>
          <w:u w:val="single"/>
        </w:rPr>
        <w:t>Kelli Florman</w:t>
      </w:r>
      <w:r w:rsidR="00360A44">
        <w:rPr>
          <w:rFonts w:ascii="Arial" w:hAnsi="Arial" w:cs="Arial"/>
          <w:sz w:val="28"/>
          <w:u w:val="single"/>
        </w:rPr>
        <w:tab/>
      </w:r>
      <w:r w:rsidR="00360A44">
        <w:rPr>
          <w:rFonts w:ascii="Arial" w:hAnsi="Arial" w:cs="Arial"/>
          <w:sz w:val="28"/>
          <w:u w:val="single"/>
        </w:rPr>
        <w:tab/>
      </w:r>
    </w:p>
    <w:p w14:paraId="5D847994" w14:textId="0AD7C064" w:rsidR="0054263E" w:rsidRDefault="0054263E" w:rsidP="0054263E">
      <w:pPr>
        <w:spacing w:line="240" w:lineRule="auto"/>
        <w:jc w:val="both"/>
        <w:rPr>
          <w:rFonts w:ascii="Arial" w:hAnsi="Arial" w:cs="Arial"/>
        </w:rPr>
      </w:pPr>
      <w:r w:rsidRPr="004F0900">
        <w:rPr>
          <w:rFonts w:ascii="Arial" w:hAnsi="Arial" w:cs="Arial"/>
          <w:b/>
          <w:u w:val="single"/>
        </w:rPr>
        <w:t>Instructions</w:t>
      </w:r>
      <w:r w:rsidRPr="004F090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  <w:t>Due b</w:t>
      </w:r>
      <w:r w:rsidRPr="004E1948">
        <w:rPr>
          <w:rFonts w:ascii="Arial" w:hAnsi="Arial" w:cs="Arial"/>
          <w:b/>
        </w:rPr>
        <w:t xml:space="preserve">y </w:t>
      </w:r>
      <w:r>
        <w:rPr>
          <w:rFonts w:ascii="Arial" w:hAnsi="Arial" w:cs="Arial"/>
          <w:b/>
          <w:color w:val="FF0000"/>
        </w:rPr>
        <w:t>November 22</w:t>
      </w:r>
      <w:r>
        <w:rPr>
          <w:rFonts w:ascii="Arial" w:hAnsi="Arial" w:cs="Arial"/>
          <w:bCs/>
          <w:color w:val="FF0000"/>
          <w:u w:val="single"/>
        </w:rPr>
        <w:t>,</w:t>
      </w:r>
      <w:r w:rsidRPr="00815127">
        <w:rPr>
          <w:rFonts w:ascii="Arial" w:hAnsi="Arial" w:cs="Arial"/>
          <w:b/>
          <w:color w:val="FF0000"/>
        </w:rPr>
        <w:t xml:space="preserve"> 20</w:t>
      </w:r>
      <w:r>
        <w:rPr>
          <w:rFonts w:ascii="Arial" w:hAnsi="Arial" w:cs="Arial"/>
          <w:b/>
          <w:color w:val="FF0000"/>
        </w:rPr>
        <w:t>2</w:t>
      </w:r>
      <w:r w:rsidR="00360A44">
        <w:rPr>
          <w:rFonts w:ascii="Arial" w:hAnsi="Arial" w:cs="Arial"/>
          <w:b/>
          <w:color w:val="FF0000"/>
        </w:rPr>
        <w:t>4</w:t>
      </w:r>
      <w:r w:rsidRPr="004E1948">
        <w:rPr>
          <w:rFonts w:ascii="Arial" w:hAnsi="Arial" w:cs="Arial"/>
          <w:b/>
        </w:rPr>
        <w:t xml:space="preserve">:  </w:t>
      </w:r>
      <w:r w:rsidRPr="004E1948">
        <w:rPr>
          <w:rFonts w:ascii="Arial" w:hAnsi="Arial" w:cs="Arial"/>
        </w:rPr>
        <w:t>Column</w:t>
      </w:r>
      <w:r>
        <w:rPr>
          <w:rFonts w:ascii="Arial" w:hAnsi="Arial" w:cs="Arial"/>
        </w:rPr>
        <w:t xml:space="preserve">s 1 and 2 </w:t>
      </w:r>
    </w:p>
    <w:p w14:paraId="3E38F9AF" w14:textId="2D795AE0" w:rsidR="0054263E" w:rsidRDefault="00EE7AB1" w:rsidP="006C3EA7">
      <w:pPr>
        <w:spacing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Initial Annual Reporting of Outcomes/Accomplishments </w:t>
      </w:r>
      <w:r w:rsidR="0054263E">
        <w:rPr>
          <w:rFonts w:ascii="Arial" w:hAnsi="Arial" w:cs="Arial"/>
          <w:b/>
        </w:rPr>
        <w:t xml:space="preserve">Due by </w:t>
      </w:r>
      <w:r w:rsidR="0054263E" w:rsidRPr="00EE7AB1">
        <w:rPr>
          <w:rFonts w:ascii="Arial" w:hAnsi="Arial" w:cs="Arial"/>
          <w:b/>
          <w:color w:val="FF0000"/>
        </w:rPr>
        <w:t xml:space="preserve">June </w:t>
      </w:r>
      <w:r w:rsidR="00F45B3E">
        <w:rPr>
          <w:rFonts w:ascii="Arial" w:hAnsi="Arial" w:cs="Arial"/>
          <w:b/>
          <w:color w:val="FF0000"/>
        </w:rPr>
        <w:t>4</w:t>
      </w:r>
      <w:r w:rsidR="0054263E" w:rsidRPr="00EE7AB1">
        <w:rPr>
          <w:rFonts w:ascii="Arial" w:hAnsi="Arial" w:cs="Arial"/>
          <w:b/>
          <w:color w:val="FF0000"/>
        </w:rPr>
        <w:t>, 202</w:t>
      </w:r>
      <w:r w:rsidR="00F45B3E">
        <w:rPr>
          <w:rFonts w:ascii="Arial" w:hAnsi="Arial" w:cs="Arial"/>
          <w:b/>
          <w:color w:val="FF0000"/>
        </w:rPr>
        <w:t>5</w:t>
      </w:r>
      <w:r w:rsidR="0054263E" w:rsidRPr="00262BE3">
        <w:rPr>
          <w:rFonts w:ascii="Arial" w:hAnsi="Arial" w:cs="Arial"/>
          <w:b/>
        </w:rPr>
        <w:t>:</w:t>
      </w:r>
      <w:r w:rsidR="0054263E">
        <w:rPr>
          <w:rFonts w:ascii="Arial" w:hAnsi="Arial" w:cs="Arial"/>
        </w:rPr>
        <w:t xml:space="preserve"> Column 3</w:t>
      </w:r>
    </w:p>
    <w:p w14:paraId="4D1D8904" w14:textId="52B7CE0D" w:rsidR="00EE7AB1" w:rsidRDefault="00EE7AB1" w:rsidP="00EE7AB1">
      <w:pPr>
        <w:spacing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Closing the Loop </w:t>
      </w:r>
      <w:r w:rsidR="001222DD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 xml:space="preserve">ith a </w:t>
      </w:r>
      <w:r w:rsidR="001222DD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inal </w:t>
      </w:r>
      <w:r w:rsidR="001222D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umulative Reporting of Outcomes/Accomplishments Due by </w:t>
      </w:r>
      <w:r w:rsidRPr="00EE7AB1">
        <w:rPr>
          <w:rFonts w:ascii="Arial" w:hAnsi="Arial" w:cs="Arial"/>
          <w:b/>
          <w:color w:val="FF0000"/>
        </w:rPr>
        <w:t xml:space="preserve">June </w:t>
      </w:r>
      <w:r w:rsidR="001560FA">
        <w:rPr>
          <w:rFonts w:ascii="Arial" w:hAnsi="Arial" w:cs="Arial"/>
          <w:b/>
          <w:color w:val="FF0000"/>
        </w:rPr>
        <w:t>3</w:t>
      </w:r>
      <w:r w:rsidRPr="00EE7AB1">
        <w:rPr>
          <w:rFonts w:ascii="Arial" w:hAnsi="Arial" w:cs="Arial"/>
          <w:b/>
          <w:color w:val="FF0000"/>
        </w:rPr>
        <w:t>, 2026</w:t>
      </w:r>
      <w:r w:rsidRPr="00262BE3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Column 3</w:t>
      </w:r>
    </w:p>
    <w:p w14:paraId="2ACF7D07" w14:textId="1A34DDF0" w:rsidR="0054263E" w:rsidRPr="00607A4A" w:rsidRDefault="0054263E" w:rsidP="006C3EA7">
      <w:pPr>
        <w:spacing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Pr="004E1948">
        <w:rPr>
          <w:rFonts w:ascii="Arial" w:hAnsi="Arial" w:cs="Arial"/>
        </w:rPr>
        <w:t xml:space="preserve">submit electronically to </w:t>
      </w:r>
      <w:hyperlink r:id="rId9" w:history="1">
        <w:r>
          <w:rPr>
            <w:rStyle w:val="Hyperlink"/>
            <w:rFonts w:ascii="Arial" w:hAnsi="Arial" w:cs="Arial"/>
          </w:rPr>
          <w:t>yadira.santiago</w:t>
        </w:r>
        <w:r w:rsidRPr="00B467DB">
          <w:rPr>
            <w:rStyle w:val="Hyperlink"/>
            <w:rFonts w:ascii="Arial" w:hAnsi="Arial" w:cs="Arial"/>
          </w:rPr>
          <w:t>@mtsac.edu</w:t>
        </w:r>
      </w:hyperlink>
      <w:r w:rsidRPr="004E1948">
        <w:rPr>
          <w:rFonts w:ascii="Arial" w:hAnsi="Arial" w:cs="Arial"/>
        </w:rPr>
        <w:t xml:space="preserve"> (on behalf of t</w:t>
      </w:r>
      <w:r>
        <w:rPr>
          <w:rFonts w:ascii="Arial" w:hAnsi="Arial" w:cs="Arial"/>
        </w:rPr>
        <w:t>he President’s Advisory Council</w:t>
      </w:r>
      <w:r w:rsidRPr="004E194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tbl>
      <w:tblPr>
        <w:tblW w:w="13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3193"/>
        <w:gridCol w:w="1037"/>
        <w:gridCol w:w="7853"/>
      </w:tblGrid>
      <w:tr w:rsidR="002764CE" w:rsidRPr="002764CE" w14:paraId="099E4EA4" w14:textId="77777777" w:rsidTr="00D908EE">
        <w:trPr>
          <w:trHeight w:val="242"/>
          <w:jc w:val="center"/>
        </w:trPr>
        <w:tc>
          <w:tcPr>
            <w:tcW w:w="4538" w:type="dxa"/>
            <w:gridSpan w:val="2"/>
            <w:shd w:val="clear" w:color="auto" w:fill="D9D9D9"/>
            <w:vAlign w:val="center"/>
          </w:tcPr>
          <w:p w14:paraId="31E44813" w14:textId="77777777" w:rsidR="002764CE" w:rsidRPr="002764CE" w:rsidRDefault="002764CE" w:rsidP="002764CE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64CE">
              <w:rPr>
                <w:rFonts w:ascii="Arial" w:hAnsi="Arial" w:cs="Arial"/>
                <w:b/>
                <w:sz w:val="16"/>
                <w:szCs w:val="16"/>
              </w:rPr>
              <w:t>Colum 1</w:t>
            </w:r>
          </w:p>
        </w:tc>
        <w:tc>
          <w:tcPr>
            <w:tcW w:w="1037" w:type="dxa"/>
            <w:shd w:val="clear" w:color="auto" w:fill="D9D9D9"/>
            <w:vAlign w:val="center"/>
          </w:tcPr>
          <w:p w14:paraId="1DADC46A" w14:textId="77777777" w:rsidR="002764CE" w:rsidRPr="002764CE" w:rsidRDefault="002764CE" w:rsidP="002764CE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64CE">
              <w:rPr>
                <w:rFonts w:ascii="Arial" w:hAnsi="Arial" w:cs="Arial"/>
                <w:b/>
                <w:sz w:val="16"/>
                <w:szCs w:val="16"/>
              </w:rPr>
              <w:t>Column 2</w:t>
            </w:r>
          </w:p>
        </w:tc>
        <w:tc>
          <w:tcPr>
            <w:tcW w:w="7853" w:type="dxa"/>
            <w:shd w:val="clear" w:color="auto" w:fill="D9D9D9"/>
          </w:tcPr>
          <w:p w14:paraId="2E54E33C" w14:textId="77777777" w:rsidR="002764CE" w:rsidRPr="002764CE" w:rsidRDefault="002764CE" w:rsidP="002764CE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64CE">
              <w:rPr>
                <w:rFonts w:ascii="Arial" w:hAnsi="Arial" w:cs="Arial"/>
                <w:b/>
                <w:sz w:val="16"/>
                <w:szCs w:val="16"/>
              </w:rPr>
              <w:t>Column 3</w:t>
            </w:r>
          </w:p>
        </w:tc>
      </w:tr>
      <w:tr w:rsidR="0054263E" w:rsidRPr="004E1948" w14:paraId="09C69078" w14:textId="77777777" w:rsidTr="00D908EE">
        <w:trPr>
          <w:trHeight w:val="764"/>
          <w:jc w:val="center"/>
        </w:trPr>
        <w:tc>
          <w:tcPr>
            <w:tcW w:w="4538" w:type="dxa"/>
            <w:gridSpan w:val="2"/>
            <w:shd w:val="clear" w:color="auto" w:fill="D9D9D9"/>
            <w:vAlign w:val="center"/>
          </w:tcPr>
          <w:p w14:paraId="40DC16ED" w14:textId="77777777" w:rsidR="0054263E" w:rsidRPr="004E1948" w:rsidRDefault="0054263E" w:rsidP="00AF44E3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4E1948">
              <w:rPr>
                <w:rFonts w:ascii="Arial" w:hAnsi="Arial" w:cs="Arial"/>
                <w:b/>
                <w:sz w:val="28"/>
              </w:rPr>
              <w:t>Committee Goal</w:t>
            </w:r>
          </w:p>
        </w:tc>
        <w:tc>
          <w:tcPr>
            <w:tcW w:w="1037" w:type="dxa"/>
            <w:shd w:val="clear" w:color="auto" w:fill="D9D9D9"/>
            <w:vAlign w:val="center"/>
          </w:tcPr>
          <w:p w14:paraId="56685305" w14:textId="547EFD75" w:rsidR="0054263E" w:rsidRPr="004E1948" w:rsidRDefault="0054263E" w:rsidP="00AF44E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4E1948">
              <w:rPr>
                <w:rFonts w:ascii="Arial" w:hAnsi="Arial" w:cs="Arial"/>
                <w:b/>
                <w:sz w:val="18"/>
              </w:rPr>
              <w:t xml:space="preserve">Link to College </w:t>
            </w:r>
            <w:r w:rsidR="00E53A83">
              <w:rPr>
                <w:rFonts w:ascii="Arial" w:hAnsi="Arial" w:cs="Arial"/>
                <w:b/>
                <w:sz w:val="18"/>
              </w:rPr>
              <w:t>Priority</w:t>
            </w:r>
            <w:r w:rsidRPr="004E1948">
              <w:rPr>
                <w:rFonts w:ascii="Arial" w:hAnsi="Arial" w:cs="Arial"/>
                <w:b/>
                <w:sz w:val="18"/>
              </w:rPr>
              <w:t xml:space="preserve"> #</w:t>
            </w:r>
          </w:p>
        </w:tc>
        <w:tc>
          <w:tcPr>
            <w:tcW w:w="7853" w:type="dxa"/>
            <w:shd w:val="clear" w:color="auto" w:fill="D9D9D9"/>
          </w:tcPr>
          <w:p w14:paraId="7B45C73F" w14:textId="77777777" w:rsidR="0054263E" w:rsidRPr="004E1948" w:rsidRDefault="0054263E" w:rsidP="00AF44E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3EF9B353" w14:textId="460E797B" w:rsidR="0054263E" w:rsidRPr="004E1948" w:rsidRDefault="0054263E" w:rsidP="00AF44E3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4E1948">
              <w:rPr>
                <w:rFonts w:ascii="Arial" w:hAnsi="Arial" w:cs="Arial"/>
                <w:b/>
                <w:sz w:val="28"/>
              </w:rPr>
              <w:t>Outcomes/Accomplishments</w:t>
            </w:r>
          </w:p>
          <w:p w14:paraId="0C613F50" w14:textId="77777777" w:rsidR="0054263E" w:rsidRPr="004E1948" w:rsidRDefault="0054263E" w:rsidP="00AF44E3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4E1948">
              <w:rPr>
                <w:rFonts w:ascii="Arial" w:hAnsi="Arial" w:cs="Arial"/>
                <w:b/>
                <w:sz w:val="28"/>
              </w:rPr>
              <w:t>(descriptive bullet list)</w:t>
            </w:r>
          </w:p>
        </w:tc>
      </w:tr>
      <w:tr w:rsidR="0054263E" w:rsidRPr="004E1948" w14:paraId="77F72C98" w14:textId="77777777" w:rsidTr="00D908EE">
        <w:trPr>
          <w:trHeight w:val="246"/>
          <w:jc w:val="center"/>
        </w:trPr>
        <w:tc>
          <w:tcPr>
            <w:tcW w:w="1345" w:type="dxa"/>
            <w:tcBorders>
              <w:right w:val="nil"/>
            </w:tcBorders>
            <w:vAlign w:val="center"/>
          </w:tcPr>
          <w:p w14:paraId="21A10C1C" w14:textId="77777777" w:rsidR="0054263E" w:rsidRPr="00EF23A9" w:rsidRDefault="0054263E" w:rsidP="00AF44E3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4E1948">
              <w:rPr>
                <w:rFonts w:ascii="Arial" w:hAnsi="Arial" w:cs="Arial"/>
                <w:b/>
              </w:rPr>
              <w:t>GOAL # 1:</w:t>
            </w:r>
          </w:p>
        </w:tc>
        <w:tc>
          <w:tcPr>
            <w:tcW w:w="3193" w:type="dxa"/>
            <w:tcBorders>
              <w:left w:val="nil"/>
              <w:bottom w:val="single" w:sz="4" w:space="0" w:color="auto"/>
            </w:tcBorders>
          </w:tcPr>
          <w:p w14:paraId="3A5A50B5" w14:textId="77777777" w:rsidR="0054263E" w:rsidRPr="00D330C5" w:rsidRDefault="0054263E" w:rsidP="00AF44E3">
            <w:pPr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330C5">
              <w:rPr>
                <w:rFonts w:ascii="Arial" w:hAnsi="Arial" w:cs="Arial"/>
                <w:b/>
                <w:bCs/>
              </w:rPr>
              <w:t>Communicate to the campus community by maintaining an up-to-date website.</w:t>
            </w:r>
          </w:p>
        </w:tc>
        <w:tc>
          <w:tcPr>
            <w:tcW w:w="1037" w:type="dxa"/>
          </w:tcPr>
          <w:p w14:paraId="35D714FC" w14:textId="77777777" w:rsidR="0054263E" w:rsidRPr="00EF23A9" w:rsidRDefault="0054263E" w:rsidP="00AF44E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C7BB5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7853" w:type="dxa"/>
          </w:tcPr>
          <w:p w14:paraId="371ABC1D" w14:textId="6A78C5CE" w:rsidR="0054263E" w:rsidRPr="005251E0" w:rsidRDefault="0082438F" w:rsidP="000D6C4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 xml:space="preserve">The Police and Campus Safety </w:t>
            </w:r>
            <w:r w:rsidR="000D6C47" w:rsidRPr="005251E0">
              <w:rPr>
                <w:rFonts w:ascii="Arial" w:hAnsi="Arial" w:cs="Arial"/>
                <w:iCs/>
                <w:sz w:val="22"/>
                <w:szCs w:val="22"/>
              </w:rPr>
              <w:t>Advisory Committee website is updated monthly</w:t>
            </w:r>
          </w:p>
          <w:p w14:paraId="174CCA3C" w14:textId="0E4219C1" w:rsidR="000D6C47" w:rsidRPr="000D6C47" w:rsidRDefault="000D6C47" w:rsidP="000D6C4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Cs/>
                <w:sz w:val="20"/>
              </w:rPr>
            </w:pPr>
            <w:r w:rsidRPr="005251E0">
              <w:rPr>
                <w:rFonts w:ascii="Arial" w:hAnsi="Arial" w:cs="Arial"/>
                <w:iCs/>
                <w:sz w:val="22"/>
                <w:szCs w:val="22"/>
              </w:rPr>
              <w:t>For the 2024-2025 school year, the website will be last updated by June 30, 2025.</w:t>
            </w:r>
            <w:r>
              <w:rPr>
                <w:rFonts w:ascii="Arial" w:hAnsi="Arial" w:cs="Arial"/>
                <w:iCs/>
                <w:sz w:val="20"/>
              </w:rPr>
              <w:t xml:space="preserve"> </w:t>
            </w:r>
          </w:p>
        </w:tc>
      </w:tr>
      <w:tr w:rsidR="0054263E" w:rsidRPr="004E1948" w14:paraId="55D88B2F" w14:textId="77777777" w:rsidTr="00D908EE">
        <w:trPr>
          <w:trHeight w:val="246"/>
          <w:jc w:val="center"/>
        </w:trPr>
        <w:tc>
          <w:tcPr>
            <w:tcW w:w="1345" w:type="dxa"/>
            <w:tcBorders>
              <w:right w:val="nil"/>
            </w:tcBorders>
            <w:vAlign w:val="center"/>
          </w:tcPr>
          <w:p w14:paraId="6076CA63" w14:textId="77777777" w:rsidR="0054263E" w:rsidRPr="004E1948" w:rsidRDefault="0054263E" w:rsidP="00AF44E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GOAL #2:</w:t>
            </w:r>
          </w:p>
        </w:tc>
        <w:tc>
          <w:tcPr>
            <w:tcW w:w="3193" w:type="dxa"/>
            <w:tcBorders>
              <w:left w:val="nil"/>
              <w:bottom w:val="single" w:sz="4" w:space="0" w:color="auto"/>
            </w:tcBorders>
          </w:tcPr>
          <w:p w14:paraId="12C8AF37" w14:textId="77777777" w:rsidR="00394D96" w:rsidRDefault="00394D96" w:rsidP="00AF44E3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83F2BE1" w14:textId="0954BC4E" w:rsidR="0054263E" w:rsidRPr="0090477F" w:rsidRDefault="001F7958" w:rsidP="00AF44E3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Establishing and supporting guidelines for effective community-oriented policing that’s reflective of Mt. SAC’s campus culture.</w:t>
            </w:r>
          </w:p>
        </w:tc>
        <w:tc>
          <w:tcPr>
            <w:tcW w:w="1037" w:type="dxa"/>
          </w:tcPr>
          <w:p w14:paraId="3A833081" w14:textId="0FFE57B8" w:rsidR="0054263E" w:rsidRPr="004E1948" w:rsidRDefault="001F7958" w:rsidP="00AF44E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1,</w:t>
            </w:r>
            <w:r w:rsidR="00E976D9">
              <w:rPr>
                <w:rFonts w:ascii="Arial" w:hAnsi="Arial" w:cs="Arial"/>
                <w:b/>
                <w:sz w:val="20"/>
              </w:rPr>
              <w:t xml:space="preserve"> 5</w:t>
            </w:r>
          </w:p>
        </w:tc>
        <w:tc>
          <w:tcPr>
            <w:tcW w:w="7853" w:type="dxa"/>
          </w:tcPr>
          <w:p w14:paraId="167AE448" w14:textId="4B4FDE6B" w:rsidR="0054263E" w:rsidRDefault="0082438F" w:rsidP="008243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 xml:space="preserve">The Police and Campus Safety Advisory Committee </w:t>
            </w:r>
            <w:r w:rsidR="005251E0" w:rsidRPr="005251E0">
              <w:rPr>
                <w:rFonts w:ascii="Arial" w:hAnsi="Arial" w:cs="Arial"/>
                <w:sz w:val="22"/>
                <w:szCs w:val="22"/>
              </w:rPr>
              <w:t>support</w:t>
            </w:r>
            <w:r w:rsidR="005251E0">
              <w:rPr>
                <w:rFonts w:ascii="Arial" w:hAnsi="Arial" w:cs="Arial"/>
                <w:sz w:val="22"/>
                <w:szCs w:val="22"/>
              </w:rPr>
              <w:t>s</w:t>
            </w:r>
            <w:r w:rsidR="005251E0" w:rsidRPr="005251E0">
              <w:rPr>
                <w:rFonts w:ascii="Arial" w:hAnsi="Arial" w:cs="Arial"/>
                <w:sz w:val="22"/>
                <w:szCs w:val="22"/>
              </w:rPr>
              <w:t xml:space="preserve"> hiring additional </w:t>
            </w:r>
            <w:r w:rsidR="005251E0">
              <w:rPr>
                <w:rFonts w:ascii="Arial" w:hAnsi="Arial" w:cs="Arial"/>
                <w:sz w:val="22"/>
                <w:szCs w:val="22"/>
              </w:rPr>
              <w:t xml:space="preserve">police and campus safety </w:t>
            </w:r>
            <w:r w:rsidR="005251E0" w:rsidRPr="005251E0">
              <w:rPr>
                <w:rFonts w:ascii="Arial" w:hAnsi="Arial" w:cs="Arial"/>
                <w:sz w:val="22"/>
                <w:szCs w:val="22"/>
              </w:rPr>
              <w:t>personnel</w:t>
            </w:r>
            <w:r w:rsidR="005251E0">
              <w:rPr>
                <w:rFonts w:ascii="Arial" w:hAnsi="Arial" w:cs="Arial"/>
                <w:sz w:val="22"/>
                <w:szCs w:val="22"/>
              </w:rPr>
              <w:t>, including sworn officers.</w:t>
            </w:r>
          </w:p>
          <w:p w14:paraId="55E88F91" w14:textId="1A427EB6" w:rsidR="00394D96" w:rsidRPr="00394D96" w:rsidRDefault="005251E0" w:rsidP="00394D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>The Police and Campus Safety Advisory Committee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4D96">
              <w:rPr>
                <w:rFonts w:ascii="Arial" w:hAnsi="Arial" w:cs="Arial"/>
                <w:sz w:val="22"/>
                <w:szCs w:val="22"/>
              </w:rPr>
              <w:t xml:space="preserve">reviewed a new process for </w:t>
            </w:r>
            <w:r w:rsidR="00394D96" w:rsidRPr="005251E0">
              <w:rPr>
                <w:rFonts w:ascii="Arial" w:hAnsi="Arial" w:cs="Arial"/>
                <w:sz w:val="22"/>
                <w:szCs w:val="22"/>
              </w:rPr>
              <w:t>Police and Campus Safety</w:t>
            </w:r>
            <w:r w:rsidR="00394D96">
              <w:rPr>
                <w:rFonts w:ascii="Arial" w:hAnsi="Arial" w:cs="Arial"/>
                <w:sz w:val="22"/>
                <w:szCs w:val="22"/>
              </w:rPr>
              <w:t xml:space="preserve"> personnel to encourage feedback on each law enforcement interaction they have with the public.</w:t>
            </w:r>
          </w:p>
        </w:tc>
      </w:tr>
      <w:tr w:rsidR="0054263E" w:rsidRPr="004E1948" w14:paraId="322DFC68" w14:textId="77777777" w:rsidTr="00D908EE">
        <w:trPr>
          <w:trHeight w:val="246"/>
          <w:jc w:val="center"/>
        </w:trPr>
        <w:tc>
          <w:tcPr>
            <w:tcW w:w="1345" w:type="dxa"/>
            <w:tcBorders>
              <w:right w:val="nil"/>
            </w:tcBorders>
            <w:vAlign w:val="center"/>
          </w:tcPr>
          <w:p w14:paraId="6F607E49" w14:textId="77777777" w:rsidR="0054263E" w:rsidRPr="004E1948" w:rsidRDefault="0054263E" w:rsidP="00AF44E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GOAL #3:</w:t>
            </w:r>
          </w:p>
        </w:tc>
        <w:tc>
          <w:tcPr>
            <w:tcW w:w="3193" w:type="dxa"/>
            <w:tcBorders>
              <w:left w:val="nil"/>
            </w:tcBorders>
          </w:tcPr>
          <w:p w14:paraId="63D9AC28" w14:textId="1459744F" w:rsidR="0054263E" w:rsidRPr="004E1948" w:rsidRDefault="00A51044" w:rsidP="00AF44E3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Assisting the Police and Campus Safety Department with campus campaigns on emerging issues related to campus safety and security.</w:t>
            </w:r>
          </w:p>
        </w:tc>
        <w:tc>
          <w:tcPr>
            <w:tcW w:w="1037" w:type="dxa"/>
          </w:tcPr>
          <w:p w14:paraId="30AE5B44" w14:textId="3446FBA8" w:rsidR="0054263E" w:rsidRPr="004E1948" w:rsidRDefault="00A51044" w:rsidP="00AF44E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1,2,5,6</w:t>
            </w:r>
          </w:p>
        </w:tc>
        <w:tc>
          <w:tcPr>
            <w:tcW w:w="7853" w:type="dxa"/>
          </w:tcPr>
          <w:p w14:paraId="2BF0064A" w14:textId="0D6FE1A8" w:rsidR="0054263E" w:rsidRPr="005251E0" w:rsidRDefault="007C5223" w:rsidP="007C52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 xml:space="preserve">The Police and Campus Safety Advisory Committee previously developed a campus safety climate survey to </w:t>
            </w:r>
            <w:r w:rsidR="0082438F" w:rsidRPr="005251E0">
              <w:rPr>
                <w:rFonts w:ascii="Arial" w:hAnsi="Arial" w:cs="Arial"/>
                <w:sz w:val="22"/>
                <w:szCs w:val="22"/>
              </w:rPr>
              <w:t xml:space="preserve">solicit feedback from students, staff, and faculty. The survey was launched in May 2025 and closed on June 13, 2025. Once compiled, the results will be shared with the committee. </w:t>
            </w:r>
          </w:p>
        </w:tc>
      </w:tr>
      <w:tr w:rsidR="0054263E" w:rsidRPr="004E1948" w14:paraId="04688F34" w14:textId="77777777" w:rsidTr="00D908EE">
        <w:trPr>
          <w:trHeight w:val="246"/>
          <w:jc w:val="center"/>
        </w:trPr>
        <w:tc>
          <w:tcPr>
            <w:tcW w:w="1345" w:type="dxa"/>
            <w:tcBorders>
              <w:right w:val="nil"/>
            </w:tcBorders>
            <w:vAlign w:val="center"/>
          </w:tcPr>
          <w:p w14:paraId="2938EC1D" w14:textId="77777777" w:rsidR="0054263E" w:rsidRDefault="0054263E" w:rsidP="00AF44E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GOAL #4:</w:t>
            </w:r>
          </w:p>
        </w:tc>
        <w:tc>
          <w:tcPr>
            <w:tcW w:w="3193" w:type="dxa"/>
            <w:tcBorders>
              <w:left w:val="nil"/>
            </w:tcBorders>
          </w:tcPr>
          <w:p w14:paraId="07C6CF35" w14:textId="76C8CA56" w:rsidR="0054263E" w:rsidRPr="004E1948" w:rsidRDefault="005508D1" w:rsidP="00AF44E3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Making recommendations regarding ongoing training for campus constituents on managing campus safety concerns.</w:t>
            </w:r>
          </w:p>
        </w:tc>
        <w:tc>
          <w:tcPr>
            <w:tcW w:w="1037" w:type="dxa"/>
          </w:tcPr>
          <w:p w14:paraId="7107E058" w14:textId="0CF56F86" w:rsidR="0054263E" w:rsidRPr="004E1948" w:rsidRDefault="006029B2" w:rsidP="00AF44E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2,4,5,6</w:t>
            </w:r>
          </w:p>
        </w:tc>
        <w:tc>
          <w:tcPr>
            <w:tcW w:w="7853" w:type="dxa"/>
          </w:tcPr>
          <w:p w14:paraId="37FB2D18" w14:textId="77777777" w:rsidR="0054263E" w:rsidRPr="005251E0" w:rsidRDefault="00A51819" w:rsidP="00A518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>The Police and Campus Safety Advisory Committee recommended coordinated training with emergency management for the campus constituents.</w:t>
            </w:r>
          </w:p>
          <w:p w14:paraId="563683BB" w14:textId="10D148D2" w:rsidR="00A51819" w:rsidRPr="00A51819" w:rsidRDefault="00A51819" w:rsidP="00A518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>The Police and Campus Safety Advisory Committee recommended protest intervention and de-escalation training.</w:t>
            </w:r>
          </w:p>
        </w:tc>
      </w:tr>
      <w:tr w:rsidR="001E59E8" w:rsidRPr="004E1948" w14:paraId="5C1885CF" w14:textId="77777777" w:rsidTr="00D908EE">
        <w:trPr>
          <w:trHeight w:val="246"/>
          <w:jc w:val="center"/>
        </w:trPr>
        <w:tc>
          <w:tcPr>
            <w:tcW w:w="1345" w:type="dxa"/>
            <w:tcBorders>
              <w:right w:val="nil"/>
            </w:tcBorders>
            <w:vAlign w:val="center"/>
          </w:tcPr>
          <w:p w14:paraId="3A4A7171" w14:textId="77777777" w:rsidR="001E59E8" w:rsidRDefault="001E59E8" w:rsidP="001E59E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GOAL #5:</w:t>
            </w:r>
          </w:p>
        </w:tc>
        <w:tc>
          <w:tcPr>
            <w:tcW w:w="3193" w:type="dxa"/>
            <w:tcBorders>
              <w:left w:val="nil"/>
            </w:tcBorders>
          </w:tcPr>
          <w:p w14:paraId="1BC119C8" w14:textId="77777777" w:rsidR="0082438F" w:rsidRDefault="0082438F" w:rsidP="00DE17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007CF42" w14:textId="77777777" w:rsidR="0082438F" w:rsidRDefault="0082438F" w:rsidP="00DE17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13A0803" w14:textId="77777777" w:rsidR="0082438F" w:rsidRDefault="0082438F" w:rsidP="00DE17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34BCC2B" w14:textId="77777777" w:rsidR="0082438F" w:rsidRDefault="0082438F" w:rsidP="00DE17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2AF5CEB" w14:textId="5A525320" w:rsidR="001E59E8" w:rsidRPr="00DD669D" w:rsidRDefault="001E59E8" w:rsidP="00DE17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669D">
              <w:rPr>
                <w:rFonts w:ascii="Arial" w:hAnsi="Arial" w:cs="Arial"/>
                <w:b/>
                <w:bCs/>
              </w:rPr>
              <w:t>Reviewing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D669D">
              <w:rPr>
                <w:rFonts w:ascii="Arial" w:hAnsi="Arial" w:cs="Arial"/>
                <w:b/>
                <w:bCs/>
              </w:rPr>
              <w:t xml:space="preserve">and making recommendations regarding </w:t>
            </w:r>
            <w:r w:rsidRPr="00DD669D">
              <w:rPr>
                <w:rFonts w:ascii="Arial" w:hAnsi="Arial" w:cs="Arial"/>
                <w:b/>
                <w:bCs/>
                <w:strike/>
              </w:rPr>
              <w:t>the</w:t>
            </w:r>
            <w:r w:rsidRPr="00DD669D">
              <w:rPr>
                <w:rFonts w:ascii="Arial" w:hAnsi="Arial" w:cs="Arial"/>
                <w:b/>
                <w:bCs/>
              </w:rPr>
              <w:t xml:space="preserve"> Police and Campus Safety policies, procedures, and training.</w:t>
            </w:r>
          </w:p>
          <w:p w14:paraId="54EED4B1" w14:textId="6CD026FC" w:rsidR="001E59E8" w:rsidRPr="004E1948" w:rsidRDefault="001E59E8" w:rsidP="001E59E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7" w:type="dxa"/>
          </w:tcPr>
          <w:p w14:paraId="69625F91" w14:textId="5DA2CC50" w:rsidR="001E59E8" w:rsidRPr="004E1948" w:rsidRDefault="00A00731" w:rsidP="001E59E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1,2</w:t>
            </w:r>
            <w:r w:rsidR="006E1A9C">
              <w:rPr>
                <w:rFonts w:ascii="Arial" w:hAnsi="Arial" w:cs="Arial"/>
                <w:b/>
                <w:sz w:val="20"/>
              </w:rPr>
              <w:t>,6</w:t>
            </w:r>
          </w:p>
        </w:tc>
        <w:tc>
          <w:tcPr>
            <w:tcW w:w="7853" w:type="dxa"/>
          </w:tcPr>
          <w:p w14:paraId="24C451BD" w14:textId="77777777" w:rsidR="001E59E8" w:rsidRPr="005251E0" w:rsidRDefault="00A51819" w:rsidP="00A518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>The Police and Campus Safety Advisory Committee recommended the following training topics for Police and Campus Safety personnel: mental health response</w:t>
            </w:r>
            <w:r w:rsidR="006F4F6A" w:rsidRPr="005251E0">
              <w:rPr>
                <w:rFonts w:ascii="Arial" w:hAnsi="Arial" w:cs="Arial"/>
                <w:sz w:val="22"/>
                <w:szCs w:val="22"/>
              </w:rPr>
              <w:t>, de-escalation, cultural diversity</w:t>
            </w:r>
            <w:r w:rsidRPr="005251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BB9A27F" w14:textId="77777777" w:rsidR="006F4F6A" w:rsidRPr="005251E0" w:rsidRDefault="006F4F6A" w:rsidP="00A518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 xml:space="preserve">The Police and Campus Safety Advisory Committee reviewed and made recommendations on the following policies and procedures: </w:t>
            </w:r>
          </w:p>
          <w:p w14:paraId="7F841EBC" w14:textId="38D5C4AB" w:rsidR="007C5223" w:rsidRPr="005251E0" w:rsidRDefault="007C5223" w:rsidP="007C5223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>Policy 300 Use of Force (Policy Manual)</w:t>
            </w:r>
          </w:p>
          <w:p w14:paraId="41762042" w14:textId="78909075" w:rsidR="007C5223" w:rsidRDefault="007C5223" w:rsidP="007C5223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>Proposed Policy 303 Conducted Energy Device (Policy Manual)</w:t>
            </w:r>
          </w:p>
          <w:p w14:paraId="695B52A5" w14:textId="03DDD869" w:rsidR="00E112E9" w:rsidRPr="00E112E9" w:rsidRDefault="00E112E9" w:rsidP="00E112E9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 xml:space="preserve">Proposed Policy </w:t>
            </w:r>
            <w:r>
              <w:rPr>
                <w:rFonts w:ascii="Arial" w:hAnsi="Arial" w:cs="Arial"/>
                <w:sz w:val="22"/>
                <w:szCs w:val="22"/>
              </w:rPr>
              <w:t>428</w:t>
            </w:r>
            <w:r w:rsidRPr="005251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Body-Worn Cameras</w:t>
            </w:r>
            <w:r w:rsidRPr="005251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251E0">
              <w:rPr>
                <w:rFonts w:ascii="Arial" w:hAnsi="Arial" w:cs="Arial"/>
                <w:sz w:val="22"/>
                <w:szCs w:val="22"/>
              </w:rPr>
              <w:t>Policy Manual)</w:t>
            </w:r>
          </w:p>
          <w:p w14:paraId="406E7686" w14:textId="70C3F854" w:rsidR="007C5223" w:rsidRPr="005251E0" w:rsidRDefault="007C5223" w:rsidP="007C5223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>Proposed Policy 706 Military Equipment (Policy Manual)</w:t>
            </w:r>
          </w:p>
          <w:p w14:paraId="1D66A9B1" w14:textId="3698C705" w:rsidR="007C5223" w:rsidRPr="005251E0" w:rsidRDefault="007C5223" w:rsidP="007C5223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>Administrative Procedure 3500</w:t>
            </w:r>
          </w:p>
          <w:p w14:paraId="1E044EAE" w14:textId="5CF7C1D4" w:rsidR="007C5223" w:rsidRPr="005251E0" w:rsidRDefault="007C5223" w:rsidP="007C5223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>Board Policy / Administrative Procedure 3501</w:t>
            </w:r>
          </w:p>
          <w:p w14:paraId="02674063" w14:textId="77777777" w:rsidR="007C5223" w:rsidRPr="005251E0" w:rsidRDefault="007C5223" w:rsidP="007C5223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>Board Policy / Administrative Procedure 7600</w:t>
            </w:r>
          </w:p>
          <w:p w14:paraId="7DF932A3" w14:textId="39E9E4B5" w:rsidR="007C5223" w:rsidRPr="00A51819" w:rsidRDefault="007C5223" w:rsidP="007C5223">
            <w:pPr>
              <w:pStyle w:val="ListParagraph"/>
              <w:ind w:left="1440"/>
              <w:rPr>
                <w:rFonts w:ascii="Arial" w:hAnsi="Arial" w:cs="Arial"/>
                <w:sz w:val="20"/>
              </w:rPr>
            </w:pPr>
          </w:p>
        </w:tc>
      </w:tr>
      <w:tr w:rsidR="004B03C4" w:rsidRPr="004E1948" w14:paraId="4F2D4C0D" w14:textId="77777777" w:rsidTr="00D908EE">
        <w:trPr>
          <w:trHeight w:val="246"/>
          <w:jc w:val="center"/>
        </w:trPr>
        <w:tc>
          <w:tcPr>
            <w:tcW w:w="1345" w:type="dxa"/>
            <w:tcBorders>
              <w:right w:val="nil"/>
            </w:tcBorders>
            <w:vAlign w:val="center"/>
          </w:tcPr>
          <w:p w14:paraId="33D233F0" w14:textId="77777777" w:rsidR="004B03C4" w:rsidRDefault="004B03C4" w:rsidP="004B03C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GOAL #6:</w:t>
            </w:r>
          </w:p>
        </w:tc>
        <w:tc>
          <w:tcPr>
            <w:tcW w:w="3193" w:type="dxa"/>
            <w:tcBorders>
              <w:left w:val="nil"/>
            </w:tcBorders>
          </w:tcPr>
          <w:p w14:paraId="221F3A95" w14:textId="4361B17E" w:rsidR="004B03C4" w:rsidRPr="004E1948" w:rsidRDefault="00817787" w:rsidP="004B03C4">
            <w:pPr>
              <w:spacing w:line="240" w:lineRule="auto"/>
              <w:rPr>
                <w:rFonts w:ascii="Arial" w:hAnsi="Arial" w:cs="Arial"/>
                <w:b/>
              </w:rPr>
            </w:pPr>
            <w:r w:rsidRPr="00A51819">
              <w:rPr>
                <w:rFonts w:ascii="Arial" w:hAnsi="Arial" w:cs="Arial"/>
                <w:b/>
                <w:color w:val="000000" w:themeColor="text1"/>
              </w:rPr>
              <w:t>Advise on the transition to a</w:t>
            </w:r>
            <w:r w:rsidR="00B803A9" w:rsidRPr="00A51819">
              <w:rPr>
                <w:rFonts w:ascii="Arial" w:hAnsi="Arial" w:cs="Arial"/>
                <w:b/>
                <w:color w:val="000000" w:themeColor="text1"/>
              </w:rPr>
              <w:t xml:space="preserve"> POST-certified police department.</w:t>
            </w:r>
          </w:p>
        </w:tc>
        <w:tc>
          <w:tcPr>
            <w:tcW w:w="1037" w:type="dxa"/>
          </w:tcPr>
          <w:p w14:paraId="2317290B" w14:textId="7424272A" w:rsidR="004B03C4" w:rsidRPr="004E1948" w:rsidRDefault="004B03C4" w:rsidP="004B03C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1,2,5,6</w:t>
            </w:r>
          </w:p>
        </w:tc>
        <w:tc>
          <w:tcPr>
            <w:tcW w:w="7853" w:type="dxa"/>
          </w:tcPr>
          <w:p w14:paraId="4A8E4657" w14:textId="201BC07D" w:rsidR="004B03C4" w:rsidRPr="005251E0" w:rsidRDefault="006F4F6A" w:rsidP="00A518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>This goal was completed. The police department became POST-participating on January 16, 2025.</w:t>
            </w:r>
          </w:p>
        </w:tc>
      </w:tr>
      <w:tr w:rsidR="004B03C4" w:rsidRPr="004E1948" w14:paraId="62D94247" w14:textId="77777777" w:rsidTr="00D908EE">
        <w:trPr>
          <w:trHeight w:val="246"/>
          <w:jc w:val="center"/>
        </w:trPr>
        <w:tc>
          <w:tcPr>
            <w:tcW w:w="1345" w:type="dxa"/>
            <w:tcBorders>
              <w:right w:val="nil"/>
            </w:tcBorders>
            <w:vAlign w:val="center"/>
          </w:tcPr>
          <w:p w14:paraId="17CB5D66" w14:textId="77777777" w:rsidR="004B03C4" w:rsidRDefault="004B03C4" w:rsidP="004B03C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GOAL #7:</w:t>
            </w:r>
          </w:p>
        </w:tc>
        <w:tc>
          <w:tcPr>
            <w:tcW w:w="3193" w:type="dxa"/>
            <w:tcBorders>
              <w:left w:val="nil"/>
            </w:tcBorders>
          </w:tcPr>
          <w:p w14:paraId="6FCAE140" w14:textId="2509104F" w:rsidR="004B03C4" w:rsidRPr="00090FD9" w:rsidRDefault="00A51819" w:rsidP="004B03C4">
            <w:pPr>
              <w:spacing w:line="240" w:lineRule="auto"/>
              <w:rPr>
                <w:rFonts w:ascii="Arial" w:hAnsi="Arial" w:cs="Arial"/>
                <w:b/>
                <w:color w:val="FF0000"/>
              </w:rPr>
            </w:pPr>
            <w:r w:rsidRPr="006F4F6A">
              <w:rPr>
                <w:rFonts w:ascii="Arial" w:hAnsi="Arial" w:cs="Arial"/>
                <w:b/>
                <w:color w:val="000000" w:themeColor="text1"/>
              </w:rPr>
              <w:t xml:space="preserve">Reviewing and </w:t>
            </w:r>
            <w:r w:rsidR="006F4F6A" w:rsidRPr="006F4F6A">
              <w:rPr>
                <w:rFonts w:ascii="Arial" w:hAnsi="Arial" w:cs="Arial"/>
                <w:b/>
                <w:color w:val="000000" w:themeColor="text1"/>
              </w:rPr>
              <w:t xml:space="preserve">making recommendations for strategies that support the Police and </w:t>
            </w:r>
            <w:r w:rsidR="006F4F6A">
              <w:rPr>
                <w:rFonts w:ascii="Arial" w:hAnsi="Arial" w:cs="Arial"/>
                <w:b/>
                <w:color w:val="000000" w:themeColor="text1"/>
              </w:rPr>
              <w:t>C</w:t>
            </w:r>
            <w:r w:rsidR="006F4F6A" w:rsidRPr="006F4F6A">
              <w:rPr>
                <w:rFonts w:ascii="Arial" w:hAnsi="Arial" w:cs="Arial"/>
                <w:b/>
                <w:color w:val="000000" w:themeColor="text1"/>
              </w:rPr>
              <w:t xml:space="preserve">ampus Safety Department’s commitment to prioritizing </w:t>
            </w:r>
            <w:r w:rsidR="009C57F1" w:rsidRPr="006F4F6A">
              <w:rPr>
                <w:rFonts w:ascii="Arial" w:hAnsi="Arial" w:cs="Arial"/>
                <w:b/>
                <w:color w:val="000000" w:themeColor="text1"/>
              </w:rPr>
              <w:t>de-escalation in all interactions to ensure the safety and well-being of the campus community.</w:t>
            </w:r>
          </w:p>
        </w:tc>
        <w:tc>
          <w:tcPr>
            <w:tcW w:w="1037" w:type="dxa"/>
          </w:tcPr>
          <w:p w14:paraId="5530543A" w14:textId="138794B2" w:rsidR="004B03C4" w:rsidRPr="004E1948" w:rsidRDefault="006F4F6A" w:rsidP="004B03C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1,2,6</w:t>
            </w:r>
          </w:p>
        </w:tc>
        <w:tc>
          <w:tcPr>
            <w:tcW w:w="7853" w:type="dxa"/>
          </w:tcPr>
          <w:p w14:paraId="28FB49BF" w14:textId="77777777" w:rsidR="004B03C4" w:rsidRPr="005251E0" w:rsidRDefault="006F4F6A" w:rsidP="006F4F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>The Police and Campus Safety Advisory Committee adopted this goal in March 2025 based on a request by the President’s Advisory Council.</w:t>
            </w:r>
          </w:p>
          <w:p w14:paraId="3A1C1833" w14:textId="2ABC2343" w:rsidR="0082438F" w:rsidRPr="006F4F6A" w:rsidRDefault="0082438F" w:rsidP="006F4F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5251E0">
              <w:rPr>
                <w:rFonts w:ascii="Arial" w:hAnsi="Arial" w:cs="Arial"/>
                <w:sz w:val="22"/>
                <w:szCs w:val="22"/>
              </w:rPr>
              <w:t>The Police and Campus Safety Advisory Committee recommended Police and Campus Safety personnel complete de-escalation training on a regular basis.</w:t>
            </w:r>
          </w:p>
        </w:tc>
      </w:tr>
    </w:tbl>
    <w:p w14:paraId="67EF0FFB" w14:textId="77777777" w:rsidR="0054263E" w:rsidRDefault="0054263E" w:rsidP="00581411"/>
    <w:sectPr w:rsidR="0054263E" w:rsidSect="00E112E9">
      <w:footerReference w:type="default" r:id="rId10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12F9" w14:textId="77777777" w:rsidR="00AD1358" w:rsidRDefault="00AD1358" w:rsidP="00581411">
      <w:pPr>
        <w:spacing w:after="0" w:line="240" w:lineRule="auto"/>
      </w:pPr>
      <w:r>
        <w:separator/>
      </w:r>
    </w:p>
  </w:endnote>
  <w:endnote w:type="continuationSeparator" w:id="0">
    <w:p w14:paraId="74EF52C1" w14:textId="77777777" w:rsidR="00AD1358" w:rsidRDefault="00AD1358" w:rsidP="0058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84AE" w14:textId="7657F7F8" w:rsidR="00581411" w:rsidRDefault="00D36062" w:rsidP="00D36062">
    <w:pPr>
      <w:pStyle w:val="Footer"/>
      <w:jc w:val="right"/>
    </w:pPr>
    <w:r>
      <w:t>New form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A37F" w14:textId="77777777" w:rsidR="00AD1358" w:rsidRDefault="00AD1358" w:rsidP="00581411">
      <w:pPr>
        <w:spacing w:after="0" w:line="240" w:lineRule="auto"/>
      </w:pPr>
      <w:r>
        <w:separator/>
      </w:r>
    </w:p>
  </w:footnote>
  <w:footnote w:type="continuationSeparator" w:id="0">
    <w:p w14:paraId="64A6386A" w14:textId="77777777" w:rsidR="00AD1358" w:rsidRDefault="00AD1358" w:rsidP="00581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7AF"/>
    <w:multiLevelType w:val="hybridMultilevel"/>
    <w:tmpl w:val="4C66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7448"/>
    <w:multiLevelType w:val="hybridMultilevel"/>
    <w:tmpl w:val="8C80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5DB4"/>
    <w:multiLevelType w:val="hybridMultilevel"/>
    <w:tmpl w:val="69EE6BFC"/>
    <w:lvl w:ilvl="0" w:tplc="31666488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420415A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 w:tplc="66FC40A8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E2848924"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ar-SA"/>
      </w:rPr>
    </w:lvl>
    <w:lvl w:ilvl="4" w:tplc="B22CF3BA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5" w:tplc="AA32E10C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2B969E56">
      <w:numFmt w:val="bullet"/>
      <w:lvlText w:val="•"/>
      <w:lvlJc w:val="left"/>
      <w:pPr>
        <w:ind w:left="5671" w:hanging="360"/>
      </w:pPr>
      <w:rPr>
        <w:rFonts w:hint="default"/>
        <w:lang w:val="en-US" w:eastAsia="en-US" w:bidi="ar-SA"/>
      </w:rPr>
    </w:lvl>
    <w:lvl w:ilvl="7" w:tplc="EDE8788E">
      <w:numFmt w:val="bullet"/>
      <w:lvlText w:val="•"/>
      <w:lvlJc w:val="left"/>
      <w:pPr>
        <w:ind w:left="6541" w:hanging="360"/>
      </w:pPr>
      <w:rPr>
        <w:rFonts w:hint="default"/>
        <w:lang w:val="en-US" w:eastAsia="en-US" w:bidi="ar-SA"/>
      </w:rPr>
    </w:lvl>
    <w:lvl w:ilvl="8" w:tplc="6FEAF5B4">
      <w:numFmt w:val="bullet"/>
      <w:lvlText w:val="•"/>
      <w:lvlJc w:val="left"/>
      <w:pPr>
        <w:ind w:left="74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FE80153"/>
    <w:multiLevelType w:val="hybridMultilevel"/>
    <w:tmpl w:val="F30A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E0807"/>
    <w:multiLevelType w:val="hybridMultilevel"/>
    <w:tmpl w:val="78F8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5581">
    <w:abstractNumId w:val="2"/>
  </w:num>
  <w:num w:numId="2" w16cid:durableId="470832939">
    <w:abstractNumId w:val="4"/>
  </w:num>
  <w:num w:numId="3" w16cid:durableId="1720857913">
    <w:abstractNumId w:val="0"/>
  </w:num>
  <w:num w:numId="4" w16cid:durableId="1846705945">
    <w:abstractNumId w:val="3"/>
  </w:num>
  <w:num w:numId="5" w16cid:durableId="1234511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zMDc3NzQ0M7U0NDNQ0lEKTi0uzszPAykwqwUAkfQlEiwAAAA="/>
  </w:docVars>
  <w:rsids>
    <w:rsidRoot w:val="0054263E"/>
    <w:rsid w:val="0008443A"/>
    <w:rsid w:val="00090FD9"/>
    <w:rsid w:val="00091382"/>
    <w:rsid w:val="000B4B10"/>
    <w:rsid w:val="000D6039"/>
    <w:rsid w:val="000D6C47"/>
    <w:rsid w:val="000E2298"/>
    <w:rsid w:val="000E774A"/>
    <w:rsid w:val="00115653"/>
    <w:rsid w:val="001222DD"/>
    <w:rsid w:val="001540DE"/>
    <w:rsid w:val="001560FA"/>
    <w:rsid w:val="0017406A"/>
    <w:rsid w:val="001A36A8"/>
    <w:rsid w:val="001E59E8"/>
    <w:rsid w:val="001F7958"/>
    <w:rsid w:val="002764CE"/>
    <w:rsid w:val="002B6540"/>
    <w:rsid w:val="002B665D"/>
    <w:rsid w:val="00360A44"/>
    <w:rsid w:val="00394D96"/>
    <w:rsid w:val="00463A85"/>
    <w:rsid w:val="004668A6"/>
    <w:rsid w:val="0048193A"/>
    <w:rsid w:val="004B03C4"/>
    <w:rsid w:val="004E0842"/>
    <w:rsid w:val="005251E0"/>
    <w:rsid w:val="005333C3"/>
    <w:rsid w:val="0054263E"/>
    <w:rsid w:val="005508D1"/>
    <w:rsid w:val="00564225"/>
    <w:rsid w:val="00581411"/>
    <w:rsid w:val="005B68C7"/>
    <w:rsid w:val="006029B2"/>
    <w:rsid w:val="00623C59"/>
    <w:rsid w:val="006C3EA7"/>
    <w:rsid w:val="006E1A9C"/>
    <w:rsid w:val="006F4F6A"/>
    <w:rsid w:val="00727CDF"/>
    <w:rsid w:val="0074719F"/>
    <w:rsid w:val="007B073A"/>
    <w:rsid w:val="007C5223"/>
    <w:rsid w:val="00812B34"/>
    <w:rsid w:val="00817787"/>
    <w:rsid w:val="0082438F"/>
    <w:rsid w:val="00831E06"/>
    <w:rsid w:val="00872AA0"/>
    <w:rsid w:val="00890BDF"/>
    <w:rsid w:val="00911501"/>
    <w:rsid w:val="00926F5D"/>
    <w:rsid w:val="00955414"/>
    <w:rsid w:val="009C57F1"/>
    <w:rsid w:val="00A00731"/>
    <w:rsid w:val="00A51044"/>
    <w:rsid w:val="00A51819"/>
    <w:rsid w:val="00A61494"/>
    <w:rsid w:val="00A731D1"/>
    <w:rsid w:val="00A80FD2"/>
    <w:rsid w:val="00AD1358"/>
    <w:rsid w:val="00AD619A"/>
    <w:rsid w:val="00B803A9"/>
    <w:rsid w:val="00BB7CED"/>
    <w:rsid w:val="00BE6514"/>
    <w:rsid w:val="00C073A1"/>
    <w:rsid w:val="00C141B6"/>
    <w:rsid w:val="00C54782"/>
    <w:rsid w:val="00D36062"/>
    <w:rsid w:val="00D6214F"/>
    <w:rsid w:val="00D908EE"/>
    <w:rsid w:val="00DA702C"/>
    <w:rsid w:val="00DB533C"/>
    <w:rsid w:val="00DE1702"/>
    <w:rsid w:val="00E112E9"/>
    <w:rsid w:val="00E26717"/>
    <w:rsid w:val="00E53A83"/>
    <w:rsid w:val="00E976D9"/>
    <w:rsid w:val="00EB121A"/>
    <w:rsid w:val="00EC65E5"/>
    <w:rsid w:val="00ED0C14"/>
    <w:rsid w:val="00EE7AB1"/>
    <w:rsid w:val="00F11746"/>
    <w:rsid w:val="00F45B3E"/>
    <w:rsid w:val="00F5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A6A5F"/>
  <w15:chartTrackingRefBased/>
  <w15:docId w15:val="{C709408B-0B35-4431-B9F7-E7BC3B72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63E"/>
  </w:style>
  <w:style w:type="paragraph" w:styleId="Heading1">
    <w:name w:val="heading 1"/>
    <w:basedOn w:val="Normal"/>
    <w:next w:val="Normal"/>
    <w:link w:val="Heading1Char"/>
    <w:qFormat/>
    <w:rsid w:val="0054263E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i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63E"/>
    <w:rPr>
      <w:rFonts w:ascii="Arial Narrow" w:eastAsia="Times New Roman" w:hAnsi="Arial Narrow" w:cs="Times New Roman"/>
      <w:i/>
      <w:sz w:val="20"/>
      <w:szCs w:val="24"/>
    </w:rPr>
  </w:style>
  <w:style w:type="character" w:styleId="Hyperlink">
    <w:name w:val="Hyperlink"/>
    <w:basedOn w:val="DefaultParagraphFont"/>
    <w:rsid w:val="0054263E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5426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1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411"/>
  </w:style>
  <w:style w:type="paragraph" w:styleId="Footer">
    <w:name w:val="footer"/>
    <w:basedOn w:val="Normal"/>
    <w:link w:val="FooterChar"/>
    <w:uiPriority w:val="99"/>
    <w:unhideWhenUsed/>
    <w:rsid w:val="00581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hebert3@mtsa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3176</Characters>
  <Application>Microsoft Office Word</Application>
  <DocSecurity>4</DocSecurity>
  <Lines>117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Reyna, Corina</dc:creator>
  <cp:keywords/>
  <dc:description/>
  <cp:lastModifiedBy>Bolechowski, Stephanie</cp:lastModifiedBy>
  <cp:revision>2</cp:revision>
  <cp:lastPrinted>2025-06-23T15:26:00Z</cp:lastPrinted>
  <dcterms:created xsi:type="dcterms:W3CDTF">2025-06-23T15:30:00Z</dcterms:created>
  <dcterms:modified xsi:type="dcterms:W3CDTF">2025-06-23T15:30:00Z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e54a7cda652f5c559a65e46c9481a35ca7287e76684a552a1990d3ecc10403fc</vt:lpwstr>
  </property>
</Properties>
</file>