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DA24CB">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001331A5">
              <w:rPr>
                <w:rFonts w:ascii="Tahoma" w:hAnsi="Tahoma" w:cs="Tahoma"/>
                <w:spacing w:val="-3"/>
                <w:sz w:val="20"/>
              </w:rPr>
              <w:br w:type="page"/>
            </w:r>
            <w:r w:rsidRPr="00C156DA">
              <w:rPr>
                <w:b/>
                <w14:shadow w14:blurRad="50800" w14:dist="38100" w14:dir="2700000" w14:sx="100000" w14:sy="100000" w14:kx="0" w14:ky="0" w14:algn="tl">
                  <w14:srgbClr w14:val="000000">
                    <w14:alpha w14:val="60000"/>
                  </w14:srgbClr>
                </w14:shadow>
              </w:rPr>
              <w:t xml:space="preserve">Distance Learning Committee     </w:t>
            </w:r>
          </w:p>
          <w:p w14:paraId="29A5EA4D" w14:textId="79823BDB" w:rsidR="00723E45" w:rsidRPr="005D75E4" w:rsidRDefault="009D3C79" w:rsidP="009D3C79">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1F1072">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2018-19</w:t>
            </w:r>
          </w:p>
        </w:tc>
      </w:tr>
    </w:tbl>
    <w:p w14:paraId="5BA5BD50" w14:textId="7DA7B8D7" w:rsidR="00DA4C74" w:rsidRDefault="00DA4C74" w:rsidP="00DA4C74"/>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1806"/>
        <w:gridCol w:w="439"/>
        <w:gridCol w:w="2319"/>
        <w:gridCol w:w="452"/>
        <w:gridCol w:w="1798"/>
        <w:gridCol w:w="360"/>
        <w:gridCol w:w="1449"/>
        <w:gridCol w:w="458"/>
        <w:gridCol w:w="1252"/>
      </w:tblGrid>
      <w:tr w:rsidR="00127C53" w:rsidRPr="00F90E4E" w14:paraId="335EED60" w14:textId="77777777" w:rsidTr="008641FC">
        <w:trPr>
          <w:trHeight w:val="395"/>
          <w:jc w:val="center"/>
        </w:trPr>
        <w:tc>
          <w:tcPr>
            <w:tcW w:w="471" w:type="dxa"/>
            <w:vAlign w:val="center"/>
          </w:tcPr>
          <w:p w14:paraId="62E51A7F" w14:textId="5C9C77B8" w:rsidR="00127C53" w:rsidRPr="00F90E4E" w:rsidRDefault="00A3175F" w:rsidP="00D800F3">
            <w:pPr>
              <w:jc w:val="center"/>
              <w:rPr>
                <w:rFonts w:ascii="Verdana" w:hAnsi="Verdana" w:cs="Arial"/>
                <w:b/>
                <w:bCs/>
                <w:sz w:val="16"/>
                <w:szCs w:val="16"/>
              </w:rPr>
            </w:pPr>
            <w:r>
              <w:rPr>
                <w:rFonts w:ascii="Verdana" w:hAnsi="Verdana" w:cs="Arial"/>
                <w:b/>
                <w:bCs/>
                <w:sz w:val="16"/>
                <w:szCs w:val="16"/>
              </w:rPr>
              <w:t xml:space="preserve"> </w:t>
            </w:r>
          </w:p>
        </w:tc>
        <w:tc>
          <w:tcPr>
            <w:tcW w:w="1806" w:type="dxa"/>
            <w:vAlign w:val="center"/>
          </w:tcPr>
          <w:p w14:paraId="0A365D58" w14:textId="77777777" w:rsidR="00127C53" w:rsidRPr="00F90E4E" w:rsidRDefault="00127C53" w:rsidP="00D800F3">
            <w:pPr>
              <w:rPr>
                <w:rFonts w:ascii="Verdana" w:hAnsi="Verdana" w:cs="Arial"/>
                <w:sz w:val="18"/>
                <w:szCs w:val="18"/>
              </w:rPr>
            </w:pPr>
            <w:r>
              <w:rPr>
                <w:rFonts w:ascii="Verdana" w:hAnsi="Verdana" w:cs="Arial"/>
                <w:bCs/>
                <w:iCs/>
                <w:sz w:val="18"/>
                <w:szCs w:val="18"/>
              </w:rPr>
              <w:t>Ron Bean</w:t>
            </w:r>
          </w:p>
        </w:tc>
        <w:tc>
          <w:tcPr>
            <w:tcW w:w="439" w:type="dxa"/>
            <w:vAlign w:val="center"/>
          </w:tcPr>
          <w:p w14:paraId="62A7BF53" w14:textId="0DEC6E2C" w:rsidR="00127C53" w:rsidRPr="00F90E4E" w:rsidRDefault="00A3175F" w:rsidP="00D800F3">
            <w:pPr>
              <w:jc w:val="center"/>
              <w:rPr>
                <w:rFonts w:ascii="Verdana" w:hAnsi="Verdana" w:cs="Arial"/>
                <w:b/>
                <w:bCs/>
                <w:sz w:val="16"/>
                <w:szCs w:val="16"/>
              </w:rPr>
            </w:pPr>
            <w:r>
              <w:rPr>
                <w:rFonts w:ascii="Verdana" w:hAnsi="Verdana" w:cs="Arial"/>
                <w:b/>
                <w:bCs/>
                <w:sz w:val="16"/>
                <w:szCs w:val="16"/>
              </w:rPr>
              <w:t>X</w:t>
            </w:r>
          </w:p>
        </w:tc>
        <w:tc>
          <w:tcPr>
            <w:tcW w:w="2319" w:type="dxa"/>
            <w:vAlign w:val="center"/>
          </w:tcPr>
          <w:p w14:paraId="5863C27F" w14:textId="77777777" w:rsidR="00127C53" w:rsidRPr="00F90E4E" w:rsidRDefault="00127C53" w:rsidP="00D800F3">
            <w:pPr>
              <w:rPr>
                <w:rFonts w:ascii="Verdana" w:hAnsi="Verdana" w:cs="Arial"/>
                <w:sz w:val="18"/>
                <w:szCs w:val="18"/>
              </w:rPr>
            </w:pPr>
            <w:r w:rsidRPr="00F90E4E">
              <w:rPr>
                <w:rFonts w:ascii="Verdana" w:hAnsi="Verdana" w:cs="Arial"/>
                <w:bCs/>
                <w:iCs/>
                <w:sz w:val="18"/>
                <w:szCs w:val="18"/>
              </w:rPr>
              <w:t>Meghan Chen</w:t>
            </w:r>
            <w:r w:rsidRPr="00F90E4E">
              <w:rPr>
                <w:rFonts w:ascii="Verdana" w:hAnsi="Verdana" w:cs="Arial"/>
                <w:sz w:val="18"/>
                <w:szCs w:val="18"/>
              </w:rPr>
              <w:t>, co-chair</w:t>
            </w:r>
          </w:p>
        </w:tc>
        <w:tc>
          <w:tcPr>
            <w:tcW w:w="452" w:type="dxa"/>
            <w:vAlign w:val="center"/>
          </w:tcPr>
          <w:p w14:paraId="062958D5" w14:textId="2B737F60" w:rsidR="00127C53" w:rsidRPr="00F90E4E" w:rsidRDefault="00417451" w:rsidP="00D800F3">
            <w:pPr>
              <w:jc w:val="center"/>
              <w:rPr>
                <w:rFonts w:ascii="Verdana" w:hAnsi="Verdana" w:cs="Arial"/>
                <w:b/>
                <w:bCs/>
                <w:sz w:val="16"/>
                <w:szCs w:val="16"/>
              </w:rPr>
            </w:pPr>
            <w:r>
              <w:rPr>
                <w:rFonts w:ascii="Verdana" w:hAnsi="Verdana" w:cs="Arial"/>
                <w:b/>
                <w:bCs/>
                <w:sz w:val="16"/>
                <w:szCs w:val="16"/>
              </w:rPr>
              <w:t>X</w:t>
            </w:r>
          </w:p>
        </w:tc>
        <w:tc>
          <w:tcPr>
            <w:tcW w:w="1798" w:type="dxa"/>
            <w:vAlign w:val="center"/>
          </w:tcPr>
          <w:p w14:paraId="7B419CEC" w14:textId="77777777" w:rsidR="00127C53" w:rsidRPr="00F90E4E" w:rsidRDefault="00127C53" w:rsidP="00D800F3">
            <w:pPr>
              <w:rPr>
                <w:rFonts w:ascii="Verdana" w:hAnsi="Verdana" w:cs="Arial"/>
                <w:sz w:val="18"/>
                <w:szCs w:val="18"/>
              </w:rPr>
            </w:pPr>
            <w:r>
              <w:rPr>
                <w:rFonts w:ascii="Verdana" w:hAnsi="Verdana" w:cs="Arial"/>
                <w:sz w:val="18"/>
                <w:szCs w:val="18"/>
              </w:rPr>
              <w:t>Stacie Nakamatsu</w:t>
            </w:r>
            <w:r w:rsidRPr="00F90E4E">
              <w:rPr>
                <w:rFonts w:ascii="Verdana" w:hAnsi="Verdana" w:cs="Arial"/>
                <w:sz w:val="18"/>
                <w:szCs w:val="18"/>
              </w:rPr>
              <w:t xml:space="preserve"> </w:t>
            </w:r>
          </w:p>
        </w:tc>
        <w:tc>
          <w:tcPr>
            <w:tcW w:w="360" w:type="dxa"/>
            <w:vAlign w:val="center"/>
          </w:tcPr>
          <w:p w14:paraId="1F2DF6C2" w14:textId="77777777" w:rsidR="00127C53" w:rsidRPr="00F90E4E" w:rsidRDefault="00127C53" w:rsidP="00D800F3">
            <w:pPr>
              <w:jc w:val="center"/>
              <w:rPr>
                <w:rFonts w:ascii="Verdana" w:hAnsi="Verdana" w:cs="Arial"/>
                <w:b/>
                <w:bCs/>
                <w:sz w:val="16"/>
                <w:szCs w:val="16"/>
              </w:rPr>
            </w:pPr>
            <w:r>
              <w:rPr>
                <w:rFonts w:ascii="Verdana" w:hAnsi="Verdana" w:cs="Arial"/>
                <w:b/>
                <w:bCs/>
                <w:sz w:val="16"/>
                <w:szCs w:val="16"/>
              </w:rPr>
              <w:t>X</w:t>
            </w:r>
          </w:p>
        </w:tc>
        <w:tc>
          <w:tcPr>
            <w:tcW w:w="1449" w:type="dxa"/>
            <w:vAlign w:val="center"/>
          </w:tcPr>
          <w:p w14:paraId="41602F0B" w14:textId="77777777" w:rsidR="00127C53" w:rsidRPr="00F90E4E" w:rsidRDefault="00127C53" w:rsidP="00D800F3">
            <w:pPr>
              <w:rPr>
                <w:rFonts w:ascii="Verdana" w:hAnsi="Verdana" w:cs="Arial"/>
                <w:sz w:val="18"/>
                <w:szCs w:val="18"/>
              </w:rPr>
            </w:pPr>
            <w:r w:rsidRPr="00F90E4E">
              <w:rPr>
                <w:rFonts w:ascii="Verdana" w:hAnsi="Verdana" w:cs="Arial"/>
                <w:sz w:val="18"/>
                <w:szCs w:val="18"/>
              </w:rPr>
              <w:t>Michael Dowdle</w:t>
            </w:r>
          </w:p>
        </w:tc>
        <w:tc>
          <w:tcPr>
            <w:tcW w:w="458" w:type="dxa"/>
            <w:vAlign w:val="center"/>
          </w:tcPr>
          <w:p w14:paraId="21F9862D" w14:textId="71C28068" w:rsidR="00127C53" w:rsidRPr="00F90E4E" w:rsidRDefault="008641FC" w:rsidP="00D800F3">
            <w:pPr>
              <w:jc w:val="center"/>
              <w:rPr>
                <w:rFonts w:ascii="Verdana" w:hAnsi="Verdana" w:cs="Arial"/>
                <w:b/>
                <w:bCs/>
                <w:sz w:val="16"/>
                <w:szCs w:val="16"/>
              </w:rPr>
            </w:pPr>
            <w:r>
              <w:rPr>
                <w:rFonts w:ascii="Verdana" w:hAnsi="Verdana" w:cs="Arial"/>
                <w:b/>
                <w:bCs/>
                <w:sz w:val="16"/>
                <w:szCs w:val="16"/>
              </w:rPr>
              <w:t>X</w:t>
            </w:r>
          </w:p>
        </w:tc>
        <w:tc>
          <w:tcPr>
            <w:tcW w:w="1252" w:type="dxa"/>
          </w:tcPr>
          <w:p w14:paraId="7C9D2344" w14:textId="77777777" w:rsidR="00127C53" w:rsidRPr="00F90E4E" w:rsidRDefault="00127C53" w:rsidP="00D800F3">
            <w:pPr>
              <w:rPr>
                <w:rFonts w:ascii="Verdana" w:hAnsi="Verdana" w:cs="Arial"/>
                <w:bCs/>
                <w:iCs/>
                <w:sz w:val="18"/>
                <w:szCs w:val="18"/>
              </w:rPr>
            </w:pPr>
            <w:r w:rsidRPr="00F90E4E">
              <w:rPr>
                <w:rFonts w:ascii="Verdana" w:hAnsi="Verdana" w:cs="Arial"/>
                <w:sz w:val="18"/>
                <w:szCs w:val="18"/>
              </w:rPr>
              <w:t>Edwin Estes</w:t>
            </w:r>
          </w:p>
        </w:tc>
      </w:tr>
      <w:tr w:rsidR="00127C53" w:rsidRPr="00F90E4E" w14:paraId="336B5FEA" w14:textId="77777777" w:rsidTr="008641FC">
        <w:trPr>
          <w:trHeight w:val="350"/>
          <w:jc w:val="center"/>
        </w:trPr>
        <w:tc>
          <w:tcPr>
            <w:tcW w:w="471" w:type="dxa"/>
            <w:vAlign w:val="center"/>
          </w:tcPr>
          <w:p w14:paraId="5BC55783" w14:textId="25E2888C" w:rsidR="00127C53" w:rsidRPr="00F90E4E" w:rsidRDefault="00127C53" w:rsidP="00D800F3">
            <w:pPr>
              <w:jc w:val="center"/>
              <w:rPr>
                <w:rFonts w:ascii="Verdana" w:hAnsi="Verdana" w:cs="Arial"/>
                <w:b/>
                <w:bCs/>
                <w:sz w:val="16"/>
                <w:szCs w:val="16"/>
              </w:rPr>
            </w:pPr>
            <w:r>
              <w:rPr>
                <w:rFonts w:ascii="Verdana" w:hAnsi="Verdana" w:cs="Arial"/>
                <w:b/>
                <w:bCs/>
                <w:sz w:val="16"/>
                <w:szCs w:val="16"/>
              </w:rPr>
              <w:t>X</w:t>
            </w:r>
          </w:p>
        </w:tc>
        <w:tc>
          <w:tcPr>
            <w:tcW w:w="1806" w:type="dxa"/>
            <w:vAlign w:val="center"/>
          </w:tcPr>
          <w:p w14:paraId="3CBB1C0D" w14:textId="77777777" w:rsidR="00127C53" w:rsidRPr="00F90E4E" w:rsidRDefault="00127C53" w:rsidP="00D800F3">
            <w:pPr>
              <w:rPr>
                <w:rFonts w:ascii="Verdana" w:hAnsi="Verdana" w:cs="Arial"/>
                <w:sz w:val="18"/>
                <w:szCs w:val="18"/>
              </w:rPr>
            </w:pPr>
            <w:r>
              <w:rPr>
                <w:rFonts w:ascii="Verdana"/>
                <w:sz w:val="18"/>
                <w:szCs w:val="18"/>
              </w:rPr>
              <w:t>Richard Patterson</w:t>
            </w:r>
          </w:p>
        </w:tc>
        <w:tc>
          <w:tcPr>
            <w:tcW w:w="439" w:type="dxa"/>
            <w:vAlign w:val="center"/>
          </w:tcPr>
          <w:p w14:paraId="712FE1EE" w14:textId="77777777" w:rsidR="00127C53" w:rsidRPr="00F90E4E" w:rsidRDefault="00127C53" w:rsidP="00D800F3">
            <w:pPr>
              <w:jc w:val="center"/>
              <w:rPr>
                <w:rFonts w:ascii="Verdana" w:hAnsi="Verdana" w:cs="Arial"/>
                <w:b/>
                <w:bCs/>
                <w:sz w:val="16"/>
                <w:szCs w:val="16"/>
              </w:rPr>
            </w:pPr>
            <w:r>
              <w:rPr>
                <w:rFonts w:ascii="Verdana" w:hAnsi="Verdana" w:cs="Arial"/>
                <w:b/>
                <w:bCs/>
                <w:sz w:val="16"/>
                <w:szCs w:val="16"/>
              </w:rPr>
              <w:t>X</w:t>
            </w:r>
          </w:p>
        </w:tc>
        <w:tc>
          <w:tcPr>
            <w:tcW w:w="2319" w:type="dxa"/>
            <w:vAlign w:val="center"/>
          </w:tcPr>
          <w:p w14:paraId="54FB650A" w14:textId="3B86F4FC" w:rsidR="00127C53" w:rsidRPr="00F90E4E" w:rsidRDefault="00127C53" w:rsidP="008641FC">
            <w:pPr>
              <w:rPr>
                <w:rFonts w:ascii="Verdana" w:hAnsi="Verdana" w:cs="Arial"/>
                <w:sz w:val="18"/>
                <w:szCs w:val="18"/>
              </w:rPr>
            </w:pPr>
            <w:r>
              <w:rPr>
                <w:rFonts w:ascii="Verdana" w:hAnsi="Verdana" w:cs="Arial"/>
                <w:sz w:val="18"/>
                <w:szCs w:val="18"/>
              </w:rPr>
              <w:t>Sandra Weatherilt</w:t>
            </w:r>
          </w:p>
        </w:tc>
        <w:tc>
          <w:tcPr>
            <w:tcW w:w="452" w:type="dxa"/>
            <w:vAlign w:val="center"/>
          </w:tcPr>
          <w:p w14:paraId="4B601AF5" w14:textId="77777777" w:rsidR="00127C53" w:rsidRPr="00F90E4E" w:rsidRDefault="00127C53" w:rsidP="00D800F3">
            <w:pPr>
              <w:jc w:val="center"/>
              <w:rPr>
                <w:rFonts w:ascii="Verdana" w:hAnsi="Verdana" w:cs="Arial"/>
                <w:b/>
                <w:bCs/>
                <w:sz w:val="16"/>
                <w:szCs w:val="16"/>
              </w:rPr>
            </w:pPr>
            <w:r>
              <w:rPr>
                <w:rFonts w:ascii="Verdana" w:hAnsi="Verdana" w:cs="Arial"/>
                <w:b/>
                <w:bCs/>
                <w:sz w:val="16"/>
                <w:szCs w:val="16"/>
              </w:rPr>
              <w:t>X</w:t>
            </w:r>
          </w:p>
        </w:tc>
        <w:tc>
          <w:tcPr>
            <w:tcW w:w="1798" w:type="dxa"/>
            <w:vAlign w:val="center"/>
          </w:tcPr>
          <w:p w14:paraId="40F6F92D" w14:textId="77777777" w:rsidR="00127C53" w:rsidRPr="00F90E4E" w:rsidRDefault="00127C53" w:rsidP="00D800F3">
            <w:pPr>
              <w:rPr>
                <w:rFonts w:ascii="Verdana" w:hAnsi="Verdana" w:cs="Arial"/>
                <w:sz w:val="18"/>
                <w:szCs w:val="18"/>
              </w:rPr>
            </w:pPr>
            <w:r>
              <w:rPr>
                <w:rFonts w:ascii="Verdana" w:hAnsi="Verdana" w:cs="Arial"/>
                <w:bCs/>
                <w:iCs/>
                <w:sz w:val="18"/>
                <w:szCs w:val="18"/>
              </w:rPr>
              <w:t>Hong Guo</w:t>
            </w:r>
          </w:p>
        </w:tc>
        <w:tc>
          <w:tcPr>
            <w:tcW w:w="360" w:type="dxa"/>
            <w:vAlign w:val="center"/>
          </w:tcPr>
          <w:p w14:paraId="5DC21AD2" w14:textId="77777777" w:rsidR="00127C53" w:rsidRPr="00F90E4E" w:rsidRDefault="00127C53" w:rsidP="00D800F3">
            <w:pPr>
              <w:jc w:val="center"/>
              <w:rPr>
                <w:rFonts w:ascii="Verdana" w:hAnsi="Verdana" w:cs="Arial"/>
                <w:b/>
                <w:bCs/>
                <w:sz w:val="16"/>
                <w:szCs w:val="16"/>
              </w:rPr>
            </w:pPr>
            <w:r>
              <w:rPr>
                <w:rFonts w:ascii="Verdana" w:hAnsi="Verdana" w:cs="Arial"/>
                <w:b/>
                <w:bCs/>
                <w:sz w:val="16"/>
                <w:szCs w:val="16"/>
              </w:rPr>
              <w:t>X</w:t>
            </w:r>
          </w:p>
        </w:tc>
        <w:tc>
          <w:tcPr>
            <w:tcW w:w="1449" w:type="dxa"/>
            <w:vAlign w:val="center"/>
          </w:tcPr>
          <w:p w14:paraId="7A8BE492" w14:textId="77777777" w:rsidR="00127C53" w:rsidRPr="00F90E4E" w:rsidRDefault="00127C53" w:rsidP="00D800F3">
            <w:pPr>
              <w:rPr>
                <w:rFonts w:ascii="Verdana" w:hAnsi="Verdana" w:cs="Arial"/>
                <w:sz w:val="18"/>
                <w:szCs w:val="18"/>
              </w:rPr>
            </w:pPr>
            <w:r w:rsidRPr="00F90E4E">
              <w:rPr>
                <w:rFonts w:ascii="Verdana" w:hAnsi="Verdana" w:cs="Arial"/>
                <w:sz w:val="18"/>
                <w:szCs w:val="18"/>
              </w:rPr>
              <w:t>Jeanne-Marie Velickovic</w:t>
            </w:r>
          </w:p>
        </w:tc>
        <w:tc>
          <w:tcPr>
            <w:tcW w:w="458" w:type="dxa"/>
            <w:vAlign w:val="center"/>
          </w:tcPr>
          <w:p w14:paraId="63CC9FA9" w14:textId="77777777" w:rsidR="00127C53" w:rsidRPr="00F90E4E" w:rsidRDefault="00127C53" w:rsidP="00D800F3">
            <w:pPr>
              <w:jc w:val="center"/>
              <w:rPr>
                <w:rFonts w:ascii="Verdana" w:hAnsi="Verdana" w:cs="Arial"/>
                <w:b/>
                <w:bCs/>
                <w:sz w:val="16"/>
                <w:szCs w:val="16"/>
              </w:rPr>
            </w:pPr>
            <w:r>
              <w:rPr>
                <w:rFonts w:ascii="Verdana" w:hAnsi="Verdana" w:cs="Arial"/>
                <w:b/>
                <w:bCs/>
                <w:sz w:val="16"/>
                <w:szCs w:val="16"/>
              </w:rPr>
              <w:t>X</w:t>
            </w:r>
          </w:p>
        </w:tc>
        <w:tc>
          <w:tcPr>
            <w:tcW w:w="1252" w:type="dxa"/>
            <w:vAlign w:val="center"/>
          </w:tcPr>
          <w:p w14:paraId="3C160284" w14:textId="3CE0B4D8" w:rsidR="00127C53" w:rsidRPr="00F90E4E" w:rsidRDefault="00127C53" w:rsidP="00D800F3">
            <w:pPr>
              <w:rPr>
                <w:rFonts w:ascii="Verdana" w:hAnsi="Verdana" w:cs="Arial"/>
                <w:sz w:val="18"/>
                <w:szCs w:val="18"/>
              </w:rPr>
            </w:pPr>
            <w:r>
              <w:rPr>
                <w:rFonts w:ascii="Verdana" w:hAnsi="Verdana" w:cs="Arial"/>
                <w:sz w:val="18"/>
                <w:szCs w:val="18"/>
              </w:rPr>
              <w:t>Carol Impara</w:t>
            </w:r>
            <w:r w:rsidR="008641FC">
              <w:rPr>
                <w:rFonts w:ascii="Verdana" w:hAnsi="Verdana" w:cs="Arial"/>
                <w:sz w:val="18"/>
                <w:szCs w:val="18"/>
              </w:rPr>
              <w:t xml:space="preserve">, </w:t>
            </w:r>
            <w:r w:rsidR="008641FC" w:rsidRPr="00F90E4E">
              <w:rPr>
                <w:rFonts w:ascii="Verdana" w:hAnsi="Verdana" w:cs="Arial"/>
                <w:sz w:val="18"/>
                <w:szCs w:val="18"/>
              </w:rPr>
              <w:t>, co-chair</w:t>
            </w:r>
          </w:p>
        </w:tc>
      </w:tr>
      <w:tr w:rsidR="00127C53" w:rsidRPr="00F90E4E" w14:paraId="393C9CF2" w14:textId="77777777" w:rsidTr="008641FC">
        <w:trPr>
          <w:trHeight w:val="440"/>
          <w:jc w:val="center"/>
        </w:trPr>
        <w:tc>
          <w:tcPr>
            <w:tcW w:w="471" w:type="dxa"/>
            <w:vAlign w:val="center"/>
          </w:tcPr>
          <w:p w14:paraId="394B654E" w14:textId="78001ED5" w:rsidR="00127C53" w:rsidRPr="00F90E4E" w:rsidRDefault="00417451" w:rsidP="00D800F3">
            <w:pPr>
              <w:jc w:val="center"/>
              <w:rPr>
                <w:rFonts w:ascii="Verdana" w:hAnsi="Verdana" w:cs="Arial"/>
                <w:b/>
                <w:bCs/>
                <w:sz w:val="16"/>
                <w:szCs w:val="16"/>
              </w:rPr>
            </w:pPr>
            <w:r>
              <w:rPr>
                <w:rFonts w:ascii="Verdana" w:hAnsi="Verdana" w:cs="Arial"/>
                <w:b/>
                <w:bCs/>
                <w:sz w:val="16"/>
                <w:szCs w:val="16"/>
              </w:rPr>
              <w:t>X</w:t>
            </w:r>
          </w:p>
        </w:tc>
        <w:tc>
          <w:tcPr>
            <w:tcW w:w="1806" w:type="dxa"/>
            <w:vAlign w:val="center"/>
          </w:tcPr>
          <w:p w14:paraId="1C7A3E40" w14:textId="77777777" w:rsidR="00127C53" w:rsidRPr="00F90E4E" w:rsidRDefault="00127C53" w:rsidP="00D800F3">
            <w:pPr>
              <w:rPr>
                <w:rFonts w:ascii="Verdana" w:hAnsi="Verdana" w:cs="Arial"/>
                <w:sz w:val="18"/>
                <w:szCs w:val="18"/>
              </w:rPr>
            </w:pPr>
            <w:r>
              <w:rPr>
                <w:rFonts w:ascii="Verdana" w:hAnsi="Verdana" w:cs="Arial"/>
                <w:sz w:val="18"/>
                <w:szCs w:val="18"/>
              </w:rPr>
              <w:t>Michelle Newhart</w:t>
            </w:r>
          </w:p>
        </w:tc>
        <w:tc>
          <w:tcPr>
            <w:tcW w:w="439" w:type="dxa"/>
            <w:vAlign w:val="center"/>
          </w:tcPr>
          <w:p w14:paraId="18B2D9B8" w14:textId="77777777" w:rsidR="00127C53" w:rsidRPr="00F90E4E" w:rsidRDefault="00127C53" w:rsidP="00D800F3">
            <w:pPr>
              <w:jc w:val="center"/>
              <w:rPr>
                <w:rFonts w:ascii="Verdana" w:hAnsi="Verdana" w:cs="Arial"/>
                <w:b/>
                <w:bCs/>
                <w:sz w:val="16"/>
                <w:szCs w:val="16"/>
              </w:rPr>
            </w:pPr>
            <w:r>
              <w:rPr>
                <w:rFonts w:ascii="Verdana" w:hAnsi="Verdana" w:cs="Arial"/>
                <w:b/>
                <w:bCs/>
                <w:sz w:val="16"/>
                <w:szCs w:val="16"/>
              </w:rPr>
              <w:t>X</w:t>
            </w:r>
          </w:p>
        </w:tc>
        <w:tc>
          <w:tcPr>
            <w:tcW w:w="2319" w:type="dxa"/>
            <w:vAlign w:val="center"/>
          </w:tcPr>
          <w:p w14:paraId="205731BA" w14:textId="77777777" w:rsidR="00127C53" w:rsidRPr="00F90E4E" w:rsidRDefault="00127C53" w:rsidP="00D800F3">
            <w:pPr>
              <w:rPr>
                <w:rFonts w:ascii="Verdana" w:hAnsi="Verdana" w:cs="Arial"/>
                <w:sz w:val="18"/>
                <w:szCs w:val="18"/>
              </w:rPr>
            </w:pPr>
            <w:r>
              <w:rPr>
                <w:rFonts w:ascii="Verdana" w:hAnsi="Verdana" w:cs="Arial"/>
                <w:sz w:val="18"/>
                <w:szCs w:val="18"/>
              </w:rPr>
              <w:t>Matthew Dawood</w:t>
            </w:r>
          </w:p>
        </w:tc>
        <w:tc>
          <w:tcPr>
            <w:tcW w:w="452" w:type="dxa"/>
            <w:vAlign w:val="center"/>
          </w:tcPr>
          <w:p w14:paraId="4C1B63CB" w14:textId="4F8767A1" w:rsidR="00127C53" w:rsidRPr="00F90E4E" w:rsidRDefault="00DD284C" w:rsidP="00D800F3">
            <w:pPr>
              <w:jc w:val="center"/>
              <w:rPr>
                <w:rFonts w:ascii="Verdana" w:hAnsi="Verdana" w:cs="Arial"/>
                <w:b/>
                <w:bCs/>
                <w:sz w:val="16"/>
                <w:szCs w:val="16"/>
              </w:rPr>
            </w:pPr>
            <w:r>
              <w:rPr>
                <w:rFonts w:ascii="Verdana" w:hAnsi="Verdana" w:cs="Arial"/>
                <w:b/>
                <w:bCs/>
                <w:sz w:val="16"/>
                <w:szCs w:val="16"/>
              </w:rPr>
              <w:t>X</w:t>
            </w:r>
          </w:p>
        </w:tc>
        <w:tc>
          <w:tcPr>
            <w:tcW w:w="1798" w:type="dxa"/>
            <w:vAlign w:val="center"/>
          </w:tcPr>
          <w:p w14:paraId="51D03790" w14:textId="0B4FD0A3" w:rsidR="00127C53" w:rsidRPr="00F90E4E" w:rsidRDefault="008641FC" w:rsidP="00D800F3">
            <w:pPr>
              <w:rPr>
                <w:rFonts w:ascii="Verdana" w:hAnsi="Verdana" w:cs="Arial"/>
                <w:sz w:val="18"/>
                <w:szCs w:val="18"/>
              </w:rPr>
            </w:pPr>
            <w:r>
              <w:rPr>
                <w:rFonts w:ascii="Verdana" w:hAnsi="Verdana" w:cs="Arial"/>
                <w:sz w:val="18"/>
                <w:szCs w:val="18"/>
              </w:rPr>
              <w:t>Catherine McKee</w:t>
            </w:r>
          </w:p>
        </w:tc>
        <w:tc>
          <w:tcPr>
            <w:tcW w:w="360" w:type="dxa"/>
            <w:vAlign w:val="center"/>
          </w:tcPr>
          <w:p w14:paraId="3BF080D4" w14:textId="77777777" w:rsidR="00127C53" w:rsidRPr="00F90E4E" w:rsidRDefault="00127C53" w:rsidP="00D800F3">
            <w:pPr>
              <w:jc w:val="both"/>
              <w:rPr>
                <w:rFonts w:ascii="Verdana" w:hAnsi="Verdana" w:cs="Arial"/>
                <w:b/>
                <w:bCs/>
                <w:sz w:val="16"/>
                <w:szCs w:val="16"/>
              </w:rPr>
            </w:pPr>
          </w:p>
        </w:tc>
        <w:tc>
          <w:tcPr>
            <w:tcW w:w="3159" w:type="dxa"/>
            <w:gridSpan w:val="3"/>
            <w:vAlign w:val="center"/>
          </w:tcPr>
          <w:p w14:paraId="148B25FA" w14:textId="0B6BD211" w:rsidR="00127C53" w:rsidRPr="00F90E4E" w:rsidRDefault="008641FC" w:rsidP="00A3175F">
            <w:pPr>
              <w:rPr>
                <w:rFonts w:ascii="Verdana" w:hAnsi="Verdana" w:cs="Arial"/>
                <w:sz w:val="18"/>
                <w:szCs w:val="18"/>
              </w:rPr>
            </w:pPr>
            <w:r w:rsidRPr="00F90E4E">
              <w:rPr>
                <w:rFonts w:ascii="Verdana" w:hAnsi="Verdana" w:cs="Arial"/>
                <w:sz w:val="18"/>
                <w:szCs w:val="18"/>
              </w:rPr>
              <w:t>Student Rep</w:t>
            </w:r>
            <w:r>
              <w:rPr>
                <w:rFonts w:ascii="Verdana" w:hAnsi="Verdana" w:cs="Arial"/>
                <w:sz w:val="18"/>
                <w:szCs w:val="18"/>
              </w:rPr>
              <w:t xml:space="preserve">: </w:t>
            </w:r>
            <w:r w:rsidR="00A3175F" w:rsidRPr="008F0B22">
              <w:rPr>
                <w:rFonts w:ascii="Verdana" w:hAnsi="Verdana" w:cs="Arial"/>
                <w:sz w:val="18"/>
                <w:szCs w:val="18"/>
              </w:rPr>
              <w:t>Jazmine Heredia</w:t>
            </w:r>
          </w:p>
        </w:tc>
      </w:tr>
    </w:tbl>
    <w:p w14:paraId="4C5D8140" w14:textId="77777777" w:rsidR="008F0B22" w:rsidRDefault="00A3175F" w:rsidP="00DA4C74">
      <w:pPr>
        <w:autoSpaceDE w:val="0"/>
        <w:autoSpaceDN w:val="0"/>
        <w:adjustRightInd w:val="0"/>
        <w:rPr>
          <w:rFonts w:ascii="Arial Narrow" w:hAnsi="Arial Narrow" w:cs="Arial"/>
          <w:sz w:val="20"/>
          <w:szCs w:val="20"/>
        </w:rPr>
      </w:pPr>
      <w:r w:rsidRPr="008F0B22">
        <w:rPr>
          <w:rFonts w:ascii="Verdana" w:hAnsi="Verdana" w:cs="Arial"/>
          <w:sz w:val="18"/>
          <w:szCs w:val="18"/>
        </w:rPr>
        <w:t>Guest:  Romelia</w:t>
      </w:r>
      <w:r w:rsidR="008F0B22">
        <w:rPr>
          <w:rFonts w:ascii="Verdana" w:hAnsi="Verdana" w:cs="Arial"/>
          <w:sz w:val="18"/>
          <w:szCs w:val="18"/>
        </w:rPr>
        <w:t xml:space="preserve"> Salinas</w:t>
      </w:r>
      <w:r>
        <w:rPr>
          <w:rFonts w:ascii="Arial Narrow" w:hAnsi="Arial Narrow" w:cs="Arial"/>
          <w:sz w:val="20"/>
          <w:szCs w:val="20"/>
        </w:rPr>
        <w:t xml:space="preserve"> </w:t>
      </w:r>
    </w:p>
    <w:p w14:paraId="111B75EB" w14:textId="07F490A3" w:rsidR="00C8541C" w:rsidRPr="00DA4C74" w:rsidRDefault="00DA4C74" w:rsidP="00DA4C74">
      <w:pPr>
        <w:autoSpaceDE w:val="0"/>
        <w:autoSpaceDN w:val="0"/>
        <w:adjustRightInd w:val="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7BD8BB42">
                <wp:simplePos x="0" y="0"/>
                <wp:positionH relativeFrom="margin">
                  <wp:posOffset>1800225</wp:posOffset>
                </wp:positionH>
                <wp:positionV relativeFrom="paragraph">
                  <wp:posOffset>72390</wp:posOffset>
                </wp:positionV>
                <wp:extent cx="2360930" cy="2476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rgbClr val="FFFFFF"/>
                        </a:solidFill>
                        <a:ln w="9525">
                          <a:noFill/>
                          <a:miter lim="800000"/>
                          <a:headEnd/>
                          <a:tailEnd/>
                        </a:ln>
                      </wps:spPr>
                      <wps:txbx>
                        <w:txbxContent>
                          <w:p w14:paraId="2282AECE" w14:textId="7C527216" w:rsidR="00DA4C74" w:rsidRPr="003B1195" w:rsidRDefault="00127C53" w:rsidP="00DA4C74">
                            <w:pPr>
                              <w:jc w:val="center"/>
                              <w:rPr>
                                <w:rFonts w:ascii="Arial Narrow" w:hAnsi="Arial Narrow"/>
                                <w:b/>
                                <w:color w:val="FF0000"/>
                                <w:sz w:val="22"/>
                                <w:szCs w:val="22"/>
                              </w:rPr>
                            </w:pPr>
                            <w:r>
                              <w:rPr>
                                <w:rFonts w:ascii="Arial Narrow" w:hAnsi="Arial Narrow"/>
                                <w:b/>
                                <w:color w:val="FF0000"/>
                                <w:sz w:val="22"/>
                                <w:szCs w:val="22"/>
                              </w:rPr>
                              <w:t>MINUTES</w:t>
                            </w:r>
                            <w:r w:rsidR="00DA4C74" w:rsidRPr="003B1195">
                              <w:rPr>
                                <w:rFonts w:ascii="Arial Narrow" w:hAnsi="Arial Narrow"/>
                                <w:b/>
                                <w:color w:val="FF0000"/>
                                <w:sz w:val="22"/>
                                <w:szCs w:val="22"/>
                              </w:rPr>
                              <w:t xml:space="preserve"> – </w:t>
                            </w:r>
                            <w:r w:rsidR="00691647">
                              <w:rPr>
                                <w:rFonts w:ascii="Arial Narrow" w:hAnsi="Arial Narrow"/>
                                <w:b/>
                                <w:color w:val="FF0000"/>
                                <w:sz w:val="22"/>
                                <w:szCs w:val="22"/>
                              </w:rPr>
                              <w:t xml:space="preserve">September </w:t>
                            </w:r>
                            <w:r w:rsidR="001D46A6">
                              <w:rPr>
                                <w:rFonts w:ascii="Arial Narrow" w:hAnsi="Arial Narrow"/>
                                <w:b/>
                                <w:color w:val="FF0000"/>
                                <w:sz w:val="22"/>
                                <w:szCs w:val="22"/>
                              </w:rPr>
                              <w:t>25</w:t>
                            </w:r>
                            <w:r w:rsidR="00DA4C74" w:rsidRPr="003B1195">
                              <w:rPr>
                                <w:rFonts w:ascii="Arial Narrow" w:hAnsi="Arial Narrow"/>
                                <w:b/>
                                <w:color w:val="FF0000"/>
                                <w:sz w:val="22"/>
                                <w:szCs w:val="22"/>
                              </w:rPr>
                              <w:t>, 2018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DE3163C">
                <v:stroke joinstyle="miter"/>
                <v:path gradientshapeok="t" o:connecttype="rect"/>
              </v:shapetype>
              <v:shape id="Text Box 3" style="position:absolute;margin-left:141.75pt;margin-top:5.7pt;width:185.9pt;height:19.5pt;z-index:2516643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">
                <v:textbox>
                  <w:txbxContent>
                    <w:p w:rsidRPr="003B1195" w:rsidR="00DA4C74" w:rsidP="00DA4C74" w:rsidRDefault="00127C53" w14:paraId="2282AECE" w14:textId="7C527216">
                      <w:pPr>
                        <w:jc w:val="center"/>
                        <w:rPr>
                          <w:rFonts w:ascii="Arial Narrow" w:hAnsi="Arial Narrow"/>
                          <w:b/>
                          <w:color w:val="FF0000"/>
                          <w:sz w:val="22"/>
                          <w:szCs w:val="22"/>
                        </w:rPr>
                      </w:pPr>
                      <w:r>
                        <w:rPr>
                          <w:rFonts w:ascii="Arial Narrow" w:hAnsi="Arial Narrow"/>
                          <w:b/>
                          <w:color w:val="FF0000"/>
                          <w:sz w:val="22"/>
                          <w:szCs w:val="22"/>
                        </w:rPr>
                        <w:t>MINUTES</w:t>
                      </w:r>
                      <w:r w:rsidRPr="003B1195" w:rsidR="00DA4C74">
                        <w:rPr>
                          <w:rFonts w:ascii="Arial Narrow" w:hAnsi="Arial Narrow"/>
                          <w:b/>
                          <w:color w:val="FF0000"/>
                          <w:sz w:val="22"/>
                          <w:szCs w:val="22"/>
                        </w:rPr>
                        <w:t xml:space="preserve"> – </w:t>
                      </w:r>
                      <w:r w:rsidR="00691647">
                        <w:rPr>
                          <w:rFonts w:ascii="Arial Narrow" w:hAnsi="Arial Narrow"/>
                          <w:b/>
                          <w:color w:val="FF0000"/>
                          <w:sz w:val="22"/>
                          <w:szCs w:val="22"/>
                        </w:rPr>
                        <w:t xml:space="preserve">September </w:t>
                      </w:r>
                      <w:r w:rsidR="001D46A6">
                        <w:rPr>
                          <w:rFonts w:ascii="Arial Narrow" w:hAnsi="Arial Narrow"/>
                          <w:b/>
                          <w:color w:val="FF0000"/>
                          <w:sz w:val="22"/>
                          <w:szCs w:val="22"/>
                        </w:rPr>
                        <w:t>25</w:t>
                      </w:r>
                      <w:r w:rsidRPr="003B1195" w:rsidR="00DA4C74">
                        <w:rPr>
                          <w:rFonts w:ascii="Arial Narrow" w:hAnsi="Arial Narrow"/>
                          <w:b/>
                          <w:color w:val="FF0000"/>
                          <w:sz w:val="22"/>
                          <w:szCs w:val="22"/>
                        </w:rPr>
                        <w:t>, 2018</w:t>
                      </w:r>
                    </w:p>
                  </w:txbxContent>
                </v:textbox>
                <w10:wrap type="square" anchorx="margin"/>
              </v:shape>
            </w:pict>
          </mc:Fallback>
        </mc:AlternateContent>
      </w:r>
    </w:p>
    <w:p w14:paraId="6587773C" w14:textId="77777777" w:rsidR="00031DA7" w:rsidRDefault="00031DA7"/>
    <w:tbl>
      <w:tblPr>
        <w:tblStyle w:val="TableGrid"/>
        <w:tblW w:w="0" w:type="auto"/>
        <w:tblLayout w:type="fixed"/>
        <w:tblLook w:val="04A0" w:firstRow="1" w:lastRow="0" w:firstColumn="1" w:lastColumn="0" w:noHBand="0" w:noVBand="1"/>
      </w:tblPr>
      <w:tblGrid>
        <w:gridCol w:w="4045"/>
        <w:gridCol w:w="6745"/>
      </w:tblGrid>
      <w:tr w:rsidR="008C097E" w14:paraId="233E7DA9" w14:textId="77777777" w:rsidTr="3EF234D0">
        <w:tc>
          <w:tcPr>
            <w:tcW w:w="404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74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C097E" w14:paraId="3722A985" w14:textId="77777777" w:rsidTr="3EF234D0">
        <w:tc>
          <w:tcPr>
            <w:tcW w:w="4045" w:type="dxa"/>
          </w:tcPr>
          <w:p w14:paraId="2F6789F2" w14:textId="7B7D55BA" w:rsidR="008C097E" w:rsidRPr="008C097E" w:rsidRDefault="000250A4" w:rsidP="001D46A6">
            <w:pPr>
              <w:rPr>
                <w:rFonts w:asciiTheme="minorHAnsi" w:hAnsiTheme="minorHAnsi"/>
              </w:rPr>
            </w:pPr>
            <w:r>
              <w:rPr>
                <w:rFonts w:asciiTheme="minorHAnsi" w:hAnsiTheme="minorHAnsi"/>
              </w:rPr>
              <w:t xml:space="preserve">Approval of DLC minutes:  </w:t>
            </w:r>
            <w:r w:rsidR="001D46A6">
              <w:rPr>
                <w:rFonts w:asciiTheme="minorHAnsi" w:hAnsiTheme="minorHAnsi"/>
              </w:rPr>
              <w:t>9/11</w:t>
            </w:r>
            <w:r w:rsidR="00DA4C74">
              <w:rPr>
                <w:rFonts w:asciiTheme="minorHAnsi" w:hAnsiTheme="minorHAnsi"/>
              </w:rPr>
              <w:t>/18</w:t>
            </w:r>
            <w:r w:rsidR="008C097E" w:rsidRPr="008C097E">
              <w:rPr>
                <w:rFonts w:asciiTheme="minorHAnsi" w:hAnsiTheme="minorHAnsi"/>
              </w:rPr>
              <w:t xml:space="preserve"> meeting</w:t>
            </w:r>
            <w:r w:rsidR="00813919">
              <w:rPr>
                <w:rFonts w:asciiTheme="minorHAnsi" w:hAnsiTheme="minorHAnsi"/>
              </w:rPr>
              <w:t xml:space="preserve">; </w:t>
            </w:r>
            <w:r w:rsidR="008C7200">
              <w:rPr>
                <w:rFonts w:asciiTheme="minorHAnsi" w:hAnsiTheme="minorHAnsi"/>
              </w:rPr>
              <w:t>assign themes</w:t>
            </w:r>
          </w:p>
        </w:tc>
        <w:tc>
          <w:tcPr>
            <w:tcW w:w="6745" w:type="dxa"/>
          </w:tcPr>
          <w:p w14:paraId="569BC77A" w14:textId="77777777" w:rsidR="00C8541C" w:rsidRDefault="00127C53" w:rsidP="0071201C">
            <w:pPr>
              <w:rPr>
                <w:rFonts w:asciiTheme="minorHAnsi" w:hAnsiTheme="minorHAnsi"/>
              </w:rPr>
            </w:pPr>
            <w:r>
              <w:rPr>
                <w:rFonts w:asciiTheme="minorHAnsi" w:hAnsiTheme="minorHAnsi"/>
              </w:rPr>
              <w:t>Approved</w:t>
            </w:r>
            <w:r w:rsidR="0008498D">
              <w:rPr>
                <w:rFonts w:asciiTheme="minorHAnsi" w:hAnsiTheme="minorHAnsi"/>
              </w:rPr>
              <w:t xml:space="preserve"> </w:t>
            </w:r>
            <w:r w:rsidR="0071201C">
              <w:rPr>
                <w:rFonts w:asciiTheme="minorHAnsi" w:hAnsiTheme="minorHAnsi"/>
              </w:rPr>
              <w:t>(with correction</w:t>
            </w:r>
            <w:r w:rsidR="00A3175F">
              <w:rPr>
                <w:rFonts w:asciiTheme="minorHAnsi" w:hAnsiTheme="minorHAnsi"/>
              </w:rPr>
              <w:t>s</w:t>
            </w:r>
            <w:r w:rsidR="0071201C">
              <w:rPr>
                <w:rFonts w:asciiTheme="minorHAnsi" w:hAnsiTheme="minorHAnsi"/>
              </w:rPr>
              <w:t>)</w:t>
            </w:r>
          </w:p>
          <w:p w14:paraId="25BBF7EB" w14:textId="7E9BD8EC" w:rsidR="00661716" w:rsidRPr="008C097E" w:rsidRDefault="00661716" w:rsidP="0071201C">
            <w:pPr>
              <w:rPr>
                <w:rFonts w:asciiTheme="minorHAnsi" w:hAnsiTheme="minorHAnsi"/>
              </w:rPr>
            </w:pPr>
            <w:r>
              <w:rPr>
                <w:rFonts w:asciiTheme="minorHAnsi" w:hAnsiTheme="minorHAnsi"/>
              </w:rPr>
              <w:t>Committee requested receiving minutes earlier to review</w:t>
            </w:r>
          </w:p>
        </w:tc>
      </w:tr>
      <w:tr w:rsidR="008C097E" w14:paraId="7AE25AC5" w14:textId="77777777" w:rsidTr="3EF234D0">
        <w:tc>
          <w:tcPr>
            <w:tcW w:w="4045" w:type="dxa"/>
            <w:shd w:val="clear" w:color="auto" w:fill="F2F2F2" w:themeFill="background1" w:themeFillShade="F2"/>
          </w:tcPr>
          <w:p w14:paraId="47CE212B" w14:textId="77777777" w:rsidR="008C097E" w:rsidRPr="00E81461" w:rsidRDefault="00E81461">
            <w:pPr>
              <w:rPr>
                <w:rFonts w:asciiTheme="minorHAnsi" w:hAnsiTheme="minorHAnsi"/>
                <w:b/>
              </w:rPr>
            </w:pPr>
            <w:r w:rsidRPr="00E81461">
              <w:rPr>
                <w:rFonts w:asciiTheme="minorHAnsi" w:hAnsiTheme="minorHAnsi"/>
                <w:b/>
              </w:rPr>
              <w:t>Reports:</w:t>
            </w:r>
          </w:p>
        </w:tc>
        <w:tc>
          <w:tcPr>
            <w:tcW w:w="6745" w:type="dxa"/>
            <w:shd w:val="clear" w:color="auto" w:fill="F2F2F2" w:themeFill="background1" w:themeFillShade="F2"/>
          </w:tcPr>
          <w:p w14:paraId="49DB3DE5" w14:textId="77777777" w:rsidR="008C097E" w:rsidRPr="008C097E" w:rsidRDefault="008C097E">
            <w:pPr>
              <w:rPr>
                <w:rFonts w:asciiTheme="minorHAnsi" w:hAnsiTheme="minorHAnsi"/>
              </w:rPr>
            </w:pPr>
          </w:p>
        </w:tc>
      </w:tr>
      <w:tr w:rsidR="008C097E" w14:paraId="59AB5201" w14:textId="77777777" w:rsidTr="3EF234D0">
        <w:tc>
          <w:tcPr>
            <w:tcW w:w="4045" w:type="dxa"/>
          </w:tcPr>
          <w:p w14:paraId="58C13CF0" w14:textId="2AA65CBE" w:rsidR="008C097E" w:rsidRPr="00E81461" w:rsidRDefault="008C097E">
            <w:pPr>
              <w:rPr>
                <w:rFonts w:asciiTheme="minorHAnsi" w:hAnsiTheme="minorHAnsi"/>
              </w:rPr>
            </w:pPr>
            <w:r w:rsidRPr="00E81461">
              <w:rPr>
                <w:rFonts w:asciiTheme="minorHAnsi" w:hAnsiTheme="minorHAnsi" w:cs="Arial"/>
              </w:rPr>
              <w:t>Educational Design Committee (EDC) /Curriculum and I</w:t>
            </w:r>
            <w:r w:rsidR="00303238">
              <w:rPr>
                <w:rFonts w:asciiTheme="minorHAnsi" w:hAnsiTheme="minorHAnsi" w:cs="Arial"/>
              </w:rPr>
              <w:t>nstruction Council (C&amp;I) (Carol</w:t>
            </w:r>
            <w:r w:rsidRPr="00E81461">
              <w:rPr>
                <w:rFonts w:asciiTheme="minorHAnsi" w:hAnsiTheme="minorHAnsi" w:cs="Arial"/>
              </w:rPr>
              <w:t>)</w:t>
            </w:r>
          </w:p>
        </w:tc>
        <w:tc>
          <w:tcPr>
            <w:tcW w:w="6745" w:type="dxa"/>
          </w:tcPr>
          <w:p w14:paraId="084BA952" w14:textId="4DC224DC" w:rsidR="008C097E" w:rsidRPr="005F0A63" w:rsidRDefault="00A3175F" w:rsidP="0023723E">
            <w:pPr>
              <w:rPr>
                <w:rFonts w:asciiTheme="minorHAnsi" w:hAnsiTheme="minorHAnsi"/>
              </w:rPr>
            </w:pPr>
            <w:r>
              <w:rPr>
                <w:rFonts w:asciiTheme="minorHAnsi" w:hAnsiTheme="minorHAnsi"/>
              </w:rPr>
              <w:t xml:space="preserve"> </w:t>
            </w:r>
            <w:r w:rsidR="00831D34">
              <w:rPr>
                <w:rFonts w:asciiTheme="minorHAnsi" w:hAnsiTheme="minorHAnsi"/>
              </w:rPr>
              <w:t>DLC May 8 and 22, 2018 minutes accepted</w:t>
            </w:r>
          </w:p>
        </w:tc>
      </w:tr>
      <w:tr w:rsidR="008C097E" w14:paraId="5DA74AED" w14:textId="77777777" w:rsidTr="3EF234D0">
        <w:tc>
          <w:tcPr>
            <w:tcW w:w="4045" w:type="dxa"/>
          </w:tcPr>
          <w:p w14:paraId="1C75D871" w14:textId="77777777" w:rsidR="008C097E" w:rsidRPr="00E81461" w:rsidRDefault="008C097E">
            <w:pPr>
              <w:rPr>
                <w:rFonts w:asciiTheme="minorHAnsi" w:hAnsiTheme="minorHAnsi"/>
              </w:rPr>
            </w:pPr>
            <w:r w:rsidRPr="00E81461">
              <w:rPr>
                <w:rFonts w:asciiTheme="minorHAnsi" w:hAnsiTheme="minorHAnsi" w:cs="Arial"/>
              </w:rPr>
              <w:t>Information Technology Advisory Committee (ITAC) Report (Rich)</w:t>
            </w:r>
          </w:p>
        </w:tc>
        <w:tc>
          <w:tcPr>
            <w:tcW w:w="6745" w:type="dxa"/>
          </w:tcPr>
          <w:p w14:paraId="6FFD25FD" w14:textId="2D67FA1F" w:rsidR="008C097E" w:rsidRPr="00831D34" w:rsidRDefault="00831D34" w:rsidP="00831D34">
            <w:pPr>
              <w:spacing w:after="160" w:line="259" w:lineRule="auto"/>
              <w:rPr>
                <w:rFonts w:asciiTheme="minorHAnsi" w:hAnsiTheme="minorHAnsi"/>
              </w:rPr>
            </w:pPr>
            <w:r w:rsidRPr="00831D34">
              <w:rPr>
                <w:rFonts w:asciiTheme="minorHAnsi" w:hAnsiTheme="minorHAnsi"/>
              </w:rPr>
              <w:t>No report</w:t>
            </w:r>
          </w:p>
        </w:tc>
      </w:tr>
      <w:tr w:rsidR="008C097E" w14:paraId="046A696A" w14:textId="77777777" w:rsidTr="3EF234D0">
        <w:tc>
          <w:tcPr>
            <w:tcW w:w="4045" w:type="dxa"/>
          </w:tcPr>
          <w:p w14:paraId="75F25537" w14:textId="585A2D80" w:rsidR="008C097E" w:rsidRPr="00E81461" w:rsidRDefault="008C097E" w:rsidP="00831D34">
            <w:pPr>
              <w:tabs>
                <w:tab w:val="left" w:pos="3435"/>
              </w:tabs>
              <w:rPr>
                <w:rFonts w:asciiTheme="minorHAnsi" w:hAnsiTheme="minorHAnsi"/>
              </w:rPr>
            </w:pPr>
            <w:r w:rsidRPr="00E81461">
              <w:rPr>
                <w:rFonts w:asciiTheme="minorHAnsi" w:hAnsiTheme="minorHAnsi" w:cs="Arial"/>
              </w:rPr>
              <w:t>Faculty Professional Development Committee (F</w:t>
            </w:r>
            <w:r w:rsidR="00831D34">
              <w:rPr>
                <w:rFonts w:asciiTheme="minorHAnsi" w:hAnsiTheme="minorHAnsi" w:cs="Arial"/>
              </w:rPr>
              <w:t>LA</w:t>
            </w:r>
            <w:r w:rsidRPr="00E81461">
              <w:rPr>
                <w:rFonts w:asciiTheme="minorHAnsi" w:hAnsiTheme="minorHAnsi" w:cs="Arial"/>
              </w:rPr>
              <w:t xml:space="preserve">C) Report </w:t>
            </w:r>
            <w:r w:rsidR="00E81461" w:rsidRPr="00E81461">
              <w:rPr>
                <w:rFonts w:asciiTheme="minorHAnsi" w:hAnsiTheme="minorHAnsi" w:cs="Arial"/>
              </w:rPr>
              <w:t>(</w:t>
            </w:r>
            <w:r w:rsidR="00831D34">
              <w:rPr>
                <w:rFonts w:asciiTheme="minorHAnsi" w:hAnsiTheme="minorHAnsi" w:cs="Arial"/>
              </w:rPr>
              <w:t>Catherine McKee</w:t>
            </w:r>
            <w:r w:rsidR="00E81461" w:rsidRPr="00E81461">
              <w:rPr>
                <w:rFonts w:asciiTheme="minorHAnsi" w:hAnsiTheme="minorHAnsi" w:cs="Arial"/>
              </w:rPr>
              <w:t>)</w:t>
            </w:r>
          </w:p>
        </w:tc>
        <w:tc>
          <w:tcPr>
            <w:tcW w:w="6745" w:type="dxa"/>
          </w:tcPr>
          <w:p w14:paraId="6CBC0721" w14:textId="2F6D16AB" w:rsidR="008C097E" w:rsidRPr="005F0A63" w:rsidRDefault="199FB105" w:rsidP="199FB105">
            <w:pPr>
              <w:rPr>
                <w:rFonts w:asciiTheme="minorHAnsi" w:hAnsiTheme="minorHAnsi"/>
              </w:rPr>
            </w:pPr>
            <w:r w:rsidRPr="199FB105">
              <w:rPr>
                <w:rFonts w:asciiTheme="minorHAnsi" w:hAnsiTheme="minorHAnsi"/>
              </w:rPr>
              <w:t>First Faculty Learning Activities Committee meeting was October 19.   Catherine and Michelle are all on this committee.  Will foster communication between training units.</w:t>
            </w:r>
          </w:p>
        </w:tc>
      </w:tr>
      <w:tr w:rsidR="00922473" w14:paraId="2106A9EC" w14:textId="77777777" w:rsidTr="3EF234D0">
        <w:trPr>
          <w:trHeight w:val="305"/>
        </w:trPr>
        <w:tc>
          <w:tcPr>
            <w:tcW w:w="4045" w:type="dxa"/>
          </w:tcPr>
          <w:p w14:paraId="015AB4B2" w14:textId="77777777" w:rsidR="00922473" w:rsidRPr="00E81461" w:rsidRDefault="00922473" w:rsidP="00922473">
            <w:pPr>
              <w:rPr>
                <w:rFonts w:asciiTheme="minorHAnsi" w:hAnsiTheme="minorHAnsi" w:cs="Arial"/>
              </w:rPr>
            </w:pPr>
            <w:r>
              <w:rPr>
                <w:rFonts w:asciiTheme="minorHAnsi" w:hAnsiTheme="minorHAnsi" w:cs="Arial"/>
              </w:rPr>
              <w:t>Faculty Center for Learning Technology (FCLT) Report (Michelle)</w:t>
            </w:r>
          </w:p>
        </w:tc>
        <w:tc>
          <w:tcPr>
            <w:tcW w:w="6745" w:type="dxa"/>
          </w:tcPr>
          <w:p w14:paraId="57FC5A63" w14:textId="77777777" w:rsidR="00AB247F" w:rsidRDefault="00480C29" w:rsidP="00FF79B8">
            <w:pPr>
              <w:rPr>
                <w:rFonts w:asciiTheme="minorHAnsi" w:hAnsiTheme="minorHAnsi"/>
              </w:rPr>
            </w:pPr>
            <w:r>
              <w:rPr>
                <w:rFonts w:asciiTheme="minorHAnsi" w:hAnsiTheme="minorHAnsi"/>
              </w:rPr>
              <w:t>Teaching with Technology Fair:  Oct 2, 2-4 pm in POD loft</w:t>
            </w:r>
          </w:p>
          <w:p w14:paraId="1282CC76" w14:textId="7C756BCE" w:rsidR="00480C29" w:rsidRDefault="199FB105" w:rsidP="199FB105">
            <w:pPr>
              <w:rPr>
                <w:rFonts w:asciiTheme="minorHAnsi" w:hAnsiTheme="minorHAnsi"/>
              </w:rPr>
            </w:pPr>
            <w:r w:rsidRPr="199FB105">
              <w:rPr>
                <w:rFonts w:asciiTheme="minorHAnsi" w:hAnsiTheme="minorHAnsi"/>
              </w:rPr>
              <w:t xml:space="preserve">Booths, info, games, prizes  </w:t>
            </w:r>
            <w:r w:rsidRPr="199FB105">
              <w:rPr>
                <w:rFonts w:asciiTheme="minorHAnsi" w:hAnsiTheme="minorHAnsi"/>
                <w:highlight w:val="yellow"/>
              </w:rPr>
              <w:t>IIIC</w:t>
            </w:r>
          </w:p>
          <w:p w14:paraId="52242E71" w14:textId="60DCBB19" w:rsidR="199FB105" w:rsidRDefault="199FB105" w:rsidP="199FB105">
            <w:pPr>
              <w:rPr>
                <w:rFonts w:asciiTheme="minorHAnsi" w:hAnsiTheme="minorHAnsi"/>
              </w:rPr>
            </w:pPr>
            <w:r w:rsidRPr="199FB105">
              <w:rPr>
                <w:rFonts w:asciiTheme="minorHAnsi" w:hAnsiTheme="minorHAnsi"/>
              </w:rPr>
              <w:t xml:space="preserve">Can Innovate:  Oct 26, 9-5 pm   </w:t>
            </w:r>
            <w:r w:rsidRPr="199FB105">
              <w:rPr>
                <w:rFonts w:asciiTheme="minorHAnsi" w:hAnsiTheme="minorHAnsi"/>
                <w:highlight w:val="yellow"/>
              </w:rPr>
              <w:t>IIIC</w:t>
            </w:r>
          </w:p>
          <w:p w14:paraId="4DEA4F19" w14:textId="77777777" w:rsidR="00480C29" w:rsidRDefault="00480C29" w:rsidP="00480C29">
            <w:pPr>
              <w:pStyle w:val="ListParagraph"/>
              <w:numPr>
                <w:ilvl w:val="0"/>
                <w:numId w:val="19"/>
              </w:numPr>
              <w:rPr>
                <w:rFonts w:asciiTheme="minorHAnsi" w:hAnsiTheme="minorHAnsi"/>
              </w:rPr>
            </w:pPr>
            <w:r>
              <w:rPr>
                <w:rFonts w:asciiTheme="minorHAnsi" w:hAnsiTheme="minorHAnsi"/>
              </w:rPr>
              <w:t>Regional Hub page is up</w:t>
            </w:r>
          </w:p>
          <w:p w14:paraId="0A03FD2F" w14:textId="77777777" w:rsidR="00480C29" w:rsidRDefault="00480C29" w:rsidP="00480C29">
            <w:pPr>
              <w:pStyle w:val="ListParagraph"/>
              <w:numPr>
                <w:ilvl w:val="0"/>
                <w:numId w:val="19"/>
              </w:numPr>
              <w:rPr>
                <w:rFonts w:asciiTheme="minorHAnsi" w:hAnsiTheme="minorHAnsi"/>
              </w:rPr>
            </w:pPr>
            <w:r>
              <w:rPr>
                <w:rFonts w:asciiTheme="minorHAnsi" w:hAnsiTheme="minorHAnsi"/>
              </w:rPr>
              <w:t>Sign up through Can Innovate site</w:t>
            </w:r>
          </w:p>
          <w:p w14:paraId="48CA3780" w14:textId="79049BB2" w:rsidR="00480C29" w:rsidRPr="00480C29" w:rsidRDefault="199FB105" w:rsidP="199FB105">
            <w:pPr>
              <w:pStyle w:val="ListParagraph"/>
              <w:numPr>
                <w:ilvl w:val="0"/>
                <w:numId w:val="19"/>
              </w:numPr>
              <w:rPr>
                <w:rFonts w:asciiTheme="minorHAnsi" w:hAnsiTheme="minorHAnsi"/>
              </w:rPr>
            </w:pPr>
            <w:r w:rsidRPr="199FB105">
              <w:rPr>
                <w:rFonts w:asciiTheme="minorHAnsi" w:hAnsiTheme="minorHAnsi"/>
              </w:rPr>
              <w:t>Can sign up for box lunch around Oct 1</w:t>
            </w:r>
          </w:p>
          <w:p w14:paraId="0FD2B216" w14:textId="166407A5" w:rsidR="00480C29" w:rsidRPr="00480C29" w:rsidRDefault="3EF234D0" w:rsidP="199FB105">
            <w:pPr>
              <w:pStyle w:val="ListParagraph"/>
              <w:numPr>
                <w:ilvl w:val="0"/>
                <w:numId w:val="19"/>
              </w:numPr>
            </w:pPr>
            <w:r w:rsidRPr="3EF234D0">
              <w:rPr>
                <w:rFonts w:asciiTheme="minorHAnsi" w:hAnsiTheme="minorHAnsi"/>
              </w:rPr>
              <w:t>Faculty can claim Flex/ Service to the College hours</w:t>
            </w:r>
          </w:p>
        </w:tc>
      </w:tr>
      <w:tr w:rsidR="00FC4E3D" w14:paraId="461BA362" w14:textId="77777777" w:rsidTr="3EF234D0">
        <w:trPr>
          <w:trHeight w:val="305"/>
        </w:trPr>
        <w:tc>
          <w:tcPr>
            <w:tcW w:w="4045" w:type="dxa"/>
          </w:tcPr>
          <w:p w14:paraId="127E5616" w14:textId="0154EB34" w:rsidR="00FC4E3D" w:rsidRPr="00E81461" w:rsidRDefault="00FC4E3D" w:rsidP="008F0B22">
            <w:pPr>
              <w:rPr>
                <w:rFonts w:asciiTheme="minorHAnsi" w:hAnsiTheme="minorHAnsi" w:cs="Arial"/>
              </w:rPr>
            </w:pPr>
            <w:r w:rsidRPr="00E81461">
              <w:rPr>
                <w:rFonts w:asciiTheme="minorHAnsi" w:hAnsiTheme="minorHAnsi" w:cs="Arial"/>
              </w:rPr>
              <w:t>Student Report (</w:t>
            </w:r>
            <w:r w:rsidR="008F0B22">
              <w:rPr>
                <w:rFonts w:asciiTheme="minorHAnsi" w:hAnsiTheme="minorHAnsi" w:cs="Arial"/>
              </w:rPr>
              <w:t>Jazmin Heredia</w:t>
            </w:r>
            <w:r>
              <w:rPr>
                <w:rFonts w:asciiTheme="minorHAnsi" w:hAnsiTheme="minorHAnsi" w:cs="Arial"/>
              </w:rPr>
              <w:t>)</w:t>
            </w:r>
          </w:p>
        </w:tc>
        <w:tc>
          <w:tcPr>
            <w:tcW w:w="6745" w:type="dxa"/>
          </w:tcPr>
          <w:p w14:paraId="373F4B49" w14:textId="77777777" w:rsidR="00FC4E3D" w:rsidRDefault="00514971">
            <w:pPr>
              <w:rPr>
                <w:rFonts w:asciiTheme="minorHAnsi" w:hAnsiTheme="minorHAnsi"/>
              </w:rPr>
            </w:pPr>
            <w:r>
              <w:rPr>
                <w:rFonts w:asciiTheme="minorHAnsi" w:hAnsiTheme="minorHAnsi"/>
              </w:rPr>
              <w:t xml:space="preserve">Welcome, Jazmin!  </w:t>
            </w:r>
          </w:p>
          <w:p w14:paraId="13B94869" w14:textId="261F7427" w:rsidR="00FE1DBC" w:rsidRDefault="00FE1DBC">
            <w:pPr>
              <w:rPr>
                <w:rFonts w:asciiTheme="minorHAnsi" w:hAnsiTheme="minorHAnsi"/>
              </w:rPr>
            </w:pPr>
            <w:r>
              <w:rPr>
                <w:rFonts w:asciiTheme="minorHAnsi" w:hAnsiTheme="minorHAnsi"/>
              </w:rPr>
              <w:t>AS is working with students to get them to register to vote</w:t>
            </w:r>
          </w:p>
        </w:tc>
      </w:tr>
      <w:tr w:rsidR="008C097E" w14:paraId="2115F190" w14:textId="77777777" w:rsidTr="3EF234D0">
        <w:tc>
          <w:tcPr>
            <w:tcW w:w="4045" w:type="dxa"/>
            <w:shd w:val="clear" w:color="auto" w:fill="D9D9D9" w:themeFill="background1" w:themeFillShade="D9"/>
          </w:tcPr>
          <w:p w14:paraId="2861ADAE" w14:textId="77777777" w:rsidR="008C097E" w:rsidRPr="00E81461" w:rsidRDefault="008C097E">
            <w:pPr>
              <w:rPr>
                <w:rFonts w:asciiTheme="minorHAnsi" w:hAnsiTheme="minorHAnsi"/>
                <w:b/>
              </w:rPr>
            </w:pPr>
            <w:r w:rsidRPr="00E81461">
              <w:rPr>
                <w:rFonts w:asciiTheme="minorHAnsi" w:hAnsiTheme="minorHAnsi"/>
                <w:b/>
              </w:rPr>
              <w:t>DL Amendments Forms</w:t>
            </w:r>
          </w:p>
        </w:tc>
        <w:tc>
          <w:tcPr>
            <w:tcW w:w="6745" w:type="dxa"/>
            <w:shd w:val="clear" w:color="auto" w:fill="D9D9D9" w:themeFill="background1" w:themeFillShade="D9"/>
          </w:tcPr>
          <w:p w14:paraId="4650B3FE" w14:textId="77777777" w:rsidR="008C097E" w:rsidRPr="00E81461" w:rsidRDefault="008C097E">
            <w:pPr>
              <w:rPr>
                <w:rFonts w:asciiTheme="minorHAnsi" w:hAnsiTheme="minorHAnsi"/>
              </w:rPr>
            </w:pPr>
          </w:p>
        </w:tc>
      </w:tr>
      <w:tr w:rsidR="008C097E" w14:paraId="4BCAA1A9" w14:textId="77777777" w:rsidTr="3EF234D0">
        <w:tc>
          <w:tcPr>
            <w:tcW w:w="4045" w:type="dxa"/>
          </w:tcPr>
          <w:p w14:paraId="3E558262" w14:textId="77777777" w:rsidR="00016B10" w:rsidRDefault="000E266F" w:rsidP="00691647">
            <w:pPr>
              <w:rPr>
                <w:rFonts w:asciiTheme="minorHAnsi" w:hAnsiTheme="minorHAnsi"/>
              </w:rPr>
            </w:pPr>
            <w:r>
              <w:rPr>
                <w:rFonts w:asciiTheme="minorHAnsi" w:hAnsiTheme="minorHAnsi"/>
              </w:rPr>
              <w:t>CISD 41</w:t>
            </w:r>
          </w:p>
          <w:p w14:paraId="3B1CC58A" w14:textId="77777777" w:rsidR="000E266F" w:rsidRDefault="000E266F" w:rsidP="00691647">
            <w:pPr>
              <w:rPr>
                <w:rFonts w:asciiTheme="minorHAnsi" w:hAnsiTheme="minorHAnsi"/>
              </w:rPr>
            </w:pPr>
            <w:r>
              <w:rPr>
                <w:rFonts w:asciiTheme="minorHAnsi" w:hAnsiTheme="minorHAnsi"/>
              </w:rPr>
              <w:t>CISD 42</w:t>
            </w:r>
          </w:p>
          <w:p w14:paraId="032789A0" w14:textId="6540D44C" w:rsidR="000E266F" w:rsidRPr="008019A3" w:rsidRDefault="000E266F" w:rsidP="00691647">
            <w:pPr>
              <w:rPr>
                <w:rFonts w:asciiTheme="minorHAnsi" w:hAnsiTheme="minorHAnsi"/>
              </w:rPr>
            </w:pPr>
            <w:r>
              <w:rPr>
                <w:rFonts w:asciiTheme="minorHAnsi" w:hAnsiTheme="minorHAnsi"/>
              </w:rPr>
              <w:t>CISD 43</w:t>
            </w:r>
          </w:p>
        </w:tc>
        <w:tc>
          <w:tcPr>
            <w:tcW w:w="6745" w:type="dxa"/>
          </w:tcPr>
          <w:p w14:paraId="45BCC8F4" w14:textId="77777777" w:rsidR="00A3414E" w:rsidRDefault="00A3414E" w:rsidP="00A3414E">
            <w:pPr>
              <w:pStyle w:val="ListParagraph"/>
              <w:numPr>
                <w:ilvl w:val="0"/>
                <w:numId w:val="14"/>
              </w:numPr>
              <w:rPr>
                <w:rFonts w:asciiTheme="minorHAnsi" w:hAnsiTheme="minorHAnsi"/>
              </w:rPr>
            </w:pPr>
            <w:r>
              <w:rPr>
                <w:rFonts w:asciiTheme="minorHAnsi" w:hAnsiTheme="minorHAnsi"/>
              </w:rPr>
              <w:t>Approved</w:t>
            </w:r>
          </w:p>
          <w:p w14:paraId="4CBE7838" w14:textId="77777777" w:rsidR="00A3414E" w:rsidRDefault="00A3414E" w:rsidP="00A3414E">
            <w:pPr>
              <w:pStyle w:val="ListParagraph"/>
              <w:numPr>
                <w:ilvl w:val="0"/>
                <w:numId w:val="14"/>
              </w:numPr>
              <w:rPr>
                <w:rFonts w:asciiTheme="minorHAnsi" w:hAnsiTheme="minorHAnsi"/>
              </w:rPr>
            </w:pPr>
            <w:r>
              <w:rPr>
                <w:rFonts w:asciiTheme="minorHAnsi" w:hAnsiTheme="minorHAnsi"/>
              </w:rPr>
              <w:t>Approved</w:t>
            </w:r>
          </w:p>
          <w:p w14:paraId="2C490584" w14:textId="77777777" w:rsidR="00A3414E" w:rsidRDefault="00A3414E" w:rsidP="00A3414E">
            <w:pPr>
              <w:pStyle w:val="ListParagraph"/>
              <w:numPr>
                <w:ilvl w:val="0"/>
                <w:numId w:val="14"/>
              </w:numPr>
              <w:rPr>
                <w:rFonts w:asciiTheme="minorHAnsi" w:hAnsiTheme="minorHAnsi"/>
              </w:rPr>
            </w:pPr>
            <w:r>
              <w:rPr>
                <w:rFonts w:asciiTheme="minorHAnsi" w:hAnsiTheme="minorHAnsi"/>
              </w:rPr>
              <w:t>Approved</w:t>
            </w:r>
          </w:p>
          <w:p w14:paraId="69A58764" w14:textId="77777777" w:rsidR="00F740FA" w:rsidRDefault="000E266F" w:rsidP="00F740FA">
            <w:pPr>
              <w:rPr>
                <w:rFonts w:asciiTheme="minorHAnsi" w:hAnsiTheme="minorHAnsi"/>
              </w:rPr>
            </w:pPr>
            <w:r>
              <w:rPr>
                <w:rFonts w:asciiTheme="minorHAnsi" w:hAnsiTheme="minorHAnsi"/>
              </w:rPr>
              <w:t>Committee agreed to abbreviation LAB for Lab Activities.</w:t>
            </w:r>
          </w:p>
          <w:p w14:paraId="46EEA206" w14:textId="7AB62EA9" w:rsidR="00FE1DBC" w:rsidRPr="00F740FA" w:rsidRDefault="199FB105" w:rsidP="199FB105">
            <w:pPr>
              <w:rPr>
                <w:rFonts w:asciiTheme="minorHAnsi" w:hAnsiTheme="minorHAnsi"/>
              </w:rPr>
            </w:pPr>
            <w:r w:rsidRPr="199FB105">
              <w:rPr>
                <w:rFonts w:asciiTheme="minorHAnsi" w:hAnsiTheme="minorHAnsi"/>
              </w:rPr>
              <w:t xml:space="preserve">Committee recommended creating a DL Amendment form template for classes with LAB components  </w:t>
            </w:r>
            <w:r w:rsidRPr="199FB105">
              <w:rPr>
                <w:rFonts w:asciiTheme="minorHAnsi" w:hAnsiTheme="minorHAnsi"/>
                <w:highlight w:val="yellow"/>
              </w:rPr>
              <w:t>IIA</w:t>
            </w:r>
          </w:p>
        </w:tc>
      </w:tr>
      <w:tr w:rsidR="00824305" w14:paraId="17FD1A62" w14:textId="77777777" w:rsidTr="3EF234D0">
        <w:tc>
          <w:tcPr>
            <w:tcW w:w="4045" w:type="dxa"/>
            <w:shd w:val="clear" w:color="auto" w:fill="D9D9D9" w:themeFill="background1" w:themeFillShade="D9"/>
          </w:tcPr>
          <w:p w14:paraId="37A8B64C" w14:textId="50EC185D" w:rsidR="00824305" w:rsidRPr="00E81461" w:rsidRDefault="00824305" w:rsidP="00824305">
            <w:pPr>
              <w:rPr>
                <w:rFonts w:asciiTheme="minorHAnsi" w:hAnsiTheme="minorHAnsi"/>
                <w:b/>
              </w:rPr>
            </w:pPr>
          </w:p>
        </w:tc>
        <w:tc>
          <w:tcPr>
            <w:tcW w:w="6745" w:type="dxa"/>
            <w:shd w:val="clear" w:color="auto" w:fill="D9D9D9" w:themeFill="background1" w:themeFillShade="D9"/>
          </w:tcPr>
          <w:p w14:paraId="5E665CA5" w14:textId="77777777" w:rsidR="00824305" w:rsidRPr="00E81461" w:rsidRDefault="00824305" w:rsidP="00824305">
            <w:pPr>
              <w:rPr>
                <w:rFonts w:asciiTheme="minorHAnsi" w:hAnsiTheme="minorHAnsi"/>
              </w:rPr>
            </w:pPr>
          </w:p>
        </w:tc>
      </w:tr>
      <w:tr w:rsidR="00DA4C74" w14:paraId="0D8913DB" w14:textId="77777777" w:rsidTr="3EF234D0">
        <w:tc>
          <w:tcPr>
            <w:tcW w:w="4045" w:type="dxa"/>
          </w:tcPr>
          <w:p w14:paraId="6ADD464C" w14:textId="5E345D3C" w:rsidR="00A62E5B" w:rsidRPr="00462478" w:rsidRDefault="00FE1DBC" w:rsidP="00DA4C74">
            <w:pPr>
              <w:rPr>
                <w:rFonts w:asciiTheme="minorHAnsi" w:hAnsiTheme="minorHAnsi"/>
              </w:rPr>
            </w:pPr>
            <w:r>
              <w:rPr>
                <w:rFonts w:asciiTheme="minorHAnsi" w:hAnsiTheme="minorHAnsi"/>
              </w:rPr>
              <w:t>Annual Review of College Committees: purpose, function, membership, and goals</w:t>
            </w:r>
          </w:p>
        </w:tc>
        <w:tc>
          <w:tcPr>
            <w:tcW w:w="6745" w:type="dxa"/>
          </w:tcPr>
          <w:p w14:paraId="45DEC06E" w14:textId="6DE04250" w:rsidR="00832999" w:rsidRPr="00462478" w:rsidRDefault="199FB105" w:rsidP="199FB105">
            <w:pPr>
              <w:pStyle w:val="ListParagraph"/>
              <w:ind w:left="0"/>
              <w:rPr>
                <w:rFonts w:asciiTheme="minorHAnsi" w:hAnsiTheme="minorHAnsi"/>
              </w:rPr>
            </w:pPr>
            <w:r w:rsidRPr="199FB105">
              <w:rPr>
                <w:rFonts w:asciiTheme="minorHAnsi" w:hAnsiTheme="minorHAnsi"/>
              </w:rPr>
              <w:t xml:space="preserve">DLC updated personnel and three goals:  #4:  Participate/provide updates and opportunities to campus on the California Virtual Campus – Online Education Initiative.  #7:  remove “approve.”  #9:  </w:t>
            </w:r>
            <w:r w:rsidRPr="199FB105">
              <w:rPr>
                <w:rFonts w:asciiTheme="minorHAnsi" w:hAnsiTheme="minorHAnsi"/>
              </w:rPr>
              <w:lastRenderedPageBreak/>
              <w:t xml:space="preserve">Make recommendations to address contract language related to Distance Learning.  </w:t>
            </w:r>
            <w:r w:rsidRPr="199FB105">
              <w:rPr>
                <w:rFonts w:asciiTheme="minorHAnsi" w:hAnsiTheme="minorHAnsi"/>
                <w:highlight w:val="yellow"/>
              </w:rPr>
              <w:t>IIIC</w:t>
            </w:r>
            <w:bookmarkStart w:id="0" w:name="_GoBack"/>
            <w:bookmarkEnd w:id="0"/>
            <w:commentRangeStart w:id="1"/>
            <w:commentRangeEnd w:id="1"/>
          </w:p>
        </w:tc>
      </w:tr>
      <w:tr w:rsidR="00B074FC" w14:paraId="79A8ADAA" w14:textId="77777777" w:rsidTr="3EF234D0">
        <w:tc>
          <w:tcPr>
            <w:tcW w:w="4045" w:type="dxa"/>
          </w:tcPr>
          <w:p w14:paraId="38000182" w14:textId="340100F6" w:rsidR="00B074FC" w:rsidRDefault="001945E0" w:rsidP="00B074FC">
            <w:pPr>
              <w:rPr>
                <w:rFonts w:asciiTheme="minorHAnsi" w:hAnsiTheme="minorHAnsi"/>
              </w:rPr>
            </w:pPr>
            <w:r>
              <w:rPr>
                <w:rFonts w:asciiTheme="minorHAnsi" w:hAnsiTheme="minorHAnsi"/>
              </w:rPr>
              <w:lastRenderedPageBreak/>
              <w:t>Academic Senate Update</w:t>
            </w:r>
          </w:p>
        </w:tc>
        <w:tc>
          <w:tcPr>
            <w:tcW w:w="6745" w:type="dxa"/>
          </w:tcPr>
          <w:p w14:paraId="4CC79CD0" w14:textId="7A15719B" w:rsidR="001945E0" w:rsidRDefault="001945E0" w:rsidP="001945E0">
            <w:pPr>
              <w:rPr>
                <w:rFonts w:asciiTheme="minorHAnsi" w:hAnsiTheme="minorHAnsi"/>
              </w:rPr>
            </w:pPr>
            <w:r>
              <w:rPr>
                <w:rFonts w:asciiTheme="minorHAnsi" w:hAnsiTheme="minorHAnsi"/>
              </w:rPr>
              <w:t>DL Plan accepted with friendly amendment</w:t>
            </w:r>
            <w:r w:rsidR="00B43014">
              <w:rPr>
                <w:rFonts w:asciiTheme="minorHAnsi" w:hAnsiTheme="minorHAnsi"/>
              </w:rPr>
              <w:t xml:space="preserve"> by Academic Senate</w:t>
            </w:r>
          </w:p>
          <w:p w14:paraId="1F05B892" w14:textId="5C12E71D" w:rsidR="001945E0" w:rsidRDefault="0061418D" w:rsidP="001945E0">
            <w:pPr>
              <w:rPr>
                <w:rFonts w:asciiTheme="minorHAnsi" w:hAnsiTheme="minorHAnsi"/>
              </w:rPr>
            </w:pPr>
            <w:r>
              <w:rPr>
                <w:rFonts w:asciiTheme="minorHAnsi" w:hAnsiTheme="minorHAnsi"/>
              </w:rPr>
              <w:t>DLC specified b</w:t>
            </w:r>
            <w:r w:rsidR="001945E0">
              <w:rPr>
                <w:rFonts w:asciiTheme="minorHAnsi" w:hAnsiTheme="minorHAnsi"/>
              </w:rPr>
              <w:t>aseline to measure % increases will be from 2017-18</w:t>
            </w:r>
            <w:r w:rsidR="00B43014">
              <w:rPr>
                <w:rFonts w:asciiTheme="minorHAnsi" w:hAnsiTheme="minorHAnsi"/>
              </w:rPr>
              <w:t xml:space="preserve"> in response to friendly amendment question</w:t>
            </w:r>
          </w:p>
          <w:p w14:paraId="7346AEB1" w14:textId="20D7C4E3" w:rsidR="00B074FC" w:rsidRPr="00462478" w:rsidRDefault="001945E0" w:rsidP="001945E0">
            <w:pPr>
              <w:pStyle w:val="ListParagraph"/>
              <w:ind w:left="0"/>
              <w:rPr>
                <w:rFonts w:asciiTheme="minorHAnsi" w:hAnsiTheme="minorHAnsi"/>
              </w:rPr>
            </w:pPr>
            <w:r>
              <w:rPr>
                <w:rFonts w:asciiTheme="minorHAnsi" w:hAnsiTheme="minorHAnsi"/>
              </w:rPr>
              <w:t>Vote on 10/4 on whether REC will be referred to DLC or a task force</w:t>
            </w:r>
          </w:p>
        </w:tc>
      </w:tr>
      <w:tr w:rsidR="00B074FC" w14:paraId="54849C87" w14:textId="77777777" w:rsidTr="3EF234D0">
        <w:tc>
          <w:tcPr>
            <w:tcW w:w="4045" w:type="dxa"/>
          </w:tcPr>
          <w:p w14:paraId="5553F3BB" w14:textId="6E30C908" w:rsidR="00B074FC" w:rsidRDefault="001945E0" w:rsidP="00B074FC">
            <w:pPr>
              <w:rPr>
                <w:rFonts w:asciiTheme="minorHAnsi" w:hAnsiTheme="minorHAnsi"/>
              </w:rPr>
            </w:pPr>
            <w:r>
              <w:rPr>
                <w:rFonts w:asciiTheme="minorHAnsi" w:hAnsiTheme="minorHAnsi"/>
              </w:rPr>
              <w:t xml:space="preserve"> CVC-OEI Meeting Report (September 14, 2018) and Finish Faster Now update</w:t>
            </w:r>
          </w:p>
        </w:tc>
        <w:tc>
          <w:tcPr>
            <w:tcW w:w="6745" w:type="dxa"/>
          </w:tcPr>
          <w:p w14:paraId="18E33E20" w14:textId="77777777" w:rsidR="000E3BFE" w:rsidRDefault="00661716" w:rsidP="000E3BFE">
            <w:pPr>
              <w:pStyle w:val="ListParagraph"/>
              <w:ind w:left="0"/>
              <w:rPr>
                <w:rFonts w:asciiTheme="minorHAnsi" w:hAnsiTheme="minorHAnsi"/>
              </w:rPr>
            </w:pPr>
            <w:r>
              <w:rPr>
                <w:rFonts w:asciiTheme="minorHAnsi" w:hAnsiTheme="minorHAnsi"/>
              </w:rPr>
              <w:t>Handouts distributed</w:t>
            </w:r>
          </w:p>
          <w:p w14:paraId="5C638AE2" w14:textId="303ED3CB" w:rsidR="00B43014" w:rsidRDefault="00B43014" w:rsidP="000E3BFE">
            <w:pPr>
              <w:pStyle w:val="ListParagraph"/>
              <w:ind w:left="0"/>
              <w:rPr>
                <w:rFonts w:asciiTheme="minorHAnsi" w:hAnsiTheme="minorHAnsi"/>
              </w:rPr>
            </w:pPr>
            <w:r>
              <w:rPr>
                <w:rFonts w:asciiTheme="minorHAnsi" w:hAnsiTheme="minorHAnsi"/>
              </w:rPr>
              <w:t>The OEI is now known as the CVC-OEI</w:t>
            </w:r>
            <w:r w:rsidR="000B62CD">
              <w:rPr>
                <w:rFonts w:asciiTheme="minorHAnsi" w:hAnsiTheme="minorHAnsi"/>
              </w:rPr>
              <w:t xml:space="preserve"> Consortium</w:t>
            </w:r>
            <w:r>
              <w:rPr>
                <w:rFonts w:asciiTheme="minorHAnsi" w:hAnsiTheme="minorHAnsi"/>
              </w:rPr>
              <w:t xml:space="preserve">.  The group has been expanded to include the California Virtual Campus, the Online Education Initiative, and @ONE, the training unit of the OEI.  </w:t>
            </w:r>
            <w:r w:rsidR="000B62CD">
              <w:rPr>
                <w:rFonts w:asciiTheme="minorHAnsi" w:hAnsiTheme="minorHAnsi"/>
              </w:rPr>
              <w:t>There are now 56 campuses in the consortium, up from the original pilot of 23 colleges.</w:t>
            </w:r>
          </w:p>
          <w:p w14:paraId="0E2F93CB" w14:textId="2CD27976" w:rsidR="00B43014" w:rsidRDefault="00B43014" w:rsidP="000B62CD">
            <w:pPr>
              <w:pStyle w:val="ListParagraph"/>
              <w:ind w:left="0"/>
              <w:rPr>
                <w:rFonts w:asciiTheme="minorHAnsi" w:hAnsiTheme="minorHAnsi"/>
              </w:rPr>
            </w:pPr>
            <w:r>
              <w:rPr>
                <w:rFonts w:asciiTheme="minorHAnsi" w:hAnsiTheme="minorHAnsi"/>
              </w:rPr>
              <w:t xml:space="preserve">CVC </w:t>
            </w:r>
            <w:r w:rsidR="000B62CD">
              <w:rPr>
                <w:rFonts w:asciiTheme="minorHAnsi" w:hAnsiTheme="minorHAnsi"/>
              </w:rPr>
              <w:t>Exchange currently host</w:t>
            </w:r>
            <w:r>
              <w:rPr>
                <w:rFonts w:asciiTheme="minorHAnsi" w:hAnsiTheme="minorHAnsi"/>
              </w:rPr>
              <w:t xml:space="preserve">s an inventory of </w:t>
            </w:r>
            <w:r w:rsidR="000B62CD">
              <w:rPr>
                <w:rFonts w:asciiTheme="minorHAnsi" w:hAnsiTheme="minorHAnsi"/>
              </w:rPr>
              <w:t xml:space="preserve">100% </w:t>
            </w:r>
            <w:r>
              <w:rPr>
                <w:rFonts w:asciiTheme="minorHAnsi" w:hAnsiTheme="minorHAnsi"/>
              </w:rPr>
              <w:t xml:space="preserve">online courses </w:t>
            </w:r>
            <w:r w:rsidR="000B62CD">
              <w:rPr>
                <w:rFonts w:asciiTheme="minorHAnsi" w:hAnsiTheme="minorHAnsi"/>
              </w:rPr>
              <w:t xml:space="preserve">offered by the consortium under the descriptor Finish Faster Now.  Students can find online courses to meet IGETC or CSU criteria, but must apply to each college as usual.  Mt. SAC is working with IT to ensure that all our 100% online offerings will be represented in this directory.  </w:t>
            </w:r>
            <w:r>
              <w:rPr>
                <w:rFonts w:asciiTheme="minorHAnsi" w:hAnsiTheme="minorHAnsi"/>
              </w:rPr>
              <w:t xml:space="preserve">  </w:t>
            </w:r>
          </w:p>
          <w:p w14:paraId="2207FBE6" w14:textId="77777777" w:rsidR="000B62CD" w:rsidRDefault="00C05700" w:rsidP="00C05700">
            <w:pPr>
              <w:pStyle w:val="ListParagraph"/>
              <w:ind w:left="0"/>
              <w:rPr>
                <w:rFonts w:asciiTheme="minorHAnsi" w:hAnsiTheme="minorHAnsi"/>
              </w:rPr>
            </w:pPr>
            <w:r>
              <w:rPr>
                <w:rFonts w:asciiTheme="minorHAnsi" w:hAnsiTheme="minorHAnsi"/>
              </w:rPr>
              <w:t>CVC-</w:t>
            </w:r>
            <w:r w:rsidR="000B62CD">
              <w:rPr>
                <w:rFonts w:asciiTheme="minorHAnsi" w:hAnsiTheme="minorHAnsi"/>
              </w:rPr>
              <w:t>O</w:t>
            </w:r>
            <w:r>
              <w:rPr>
                <w:rFonts w:asciiTheme="minorHAnsi" w:hAnsiTheme="minorHAnsi"/>
              </w:rPr>
              <w:t xml:space="preserve">EI </w:t>
            </w:r>
            <w:r w:rsidR="000B62CD">
              <w:rPr>
                <w:rFonts w:asciiTheme="minorHAnsi" w:hAnsiTheme="minorHAnsi"/>
              </w:rPr>
              <w:t xml:space="preserve">cross-enrollment </w:t>
            </w:r>
            <w:r>
              <w:rPr>
                <w:rFonts w:asciiTheme="minorHAnsi" w:hAnsiTheme="minorHAnsi"/>
              </w:rPr>
              <w:t>is being revamped with new vendor, n2n, and will launch in Fall 2019.  Mt SAC hopefully will be part of the cohort in Spring 2020.</w:t>
            </w:r>
          </w:p>
          <w:p w14:paraId="10BA420D" w14:textId="61D70EFD" w:rsidR="00C05700" w:rsidRPr="000E3BFE" w:rsidRDefault="199FB105" w:rsidP="199FB105">
            <w:pPr>
              <w:pStyle w:val="ListParagraph"/>
              <w:ind w:left="0"/>
              <w:rPr>
                <w:rFonts w:asciiTheme="minorHAnsi" w:hAnsiTheme="minorHAnsi"/>
              </w:rPr>
            </w:pPr>
            <w:r w:rsidRPr="199FB105">
              <w:rPr>
                <w:rFonts w:asciiTheme="minorHAnsi" w:hAnsiTheme="minorHAnsi"/>
              </w:rPr>
              <w:t xml:space="preserve">Tabled due to time constraints -- Please bring your handouts to the next meeting.  </w:t>
            </w:r>
            <w:r w:rsidRPr="199FB105">
              <w:rPr>
                <w:rFonts w:asciiTheme="minorHAnsi" w:hAnsiTheme="minorHAnsi"/>
                <w:highlight w:val="yellow"/>
              </w:rPr>
              <w:t>IIA, IIIC</w:t>
            </w:r>
          </w:p>
        </w:tc>
      </w:tr>
      <w:tr w:rsidR="001945E0" w14:paraId="695C379E" w14:textId="77777777" w:rsidTr="3EF234D0">
        <w:tc>
          <w:tcPr>
            <w:tcW w:w="4045" w:type="dxa"/>
          </w:tcPr>
          <w:p w14:paraId="5418554A" w14:textId="5D1A8596" w:rsidR="001945E0" w:rsidRDefault="001945E0" w:rsidP="00B074FC">
            <w:pPr>
              <w:rPr>
                <w:rFonts w:asciiTheme="minorHAnsi" w:hAnsiTheme="minorHAnsi"/>
              </w:rPr>
            </w:pPr>
            <w:r>
              <w:rPr>
                <w:rFonts w:asciiTheme="minorHAnsi" w:hAnsiTheme="minorHAnsi"/>
              </w:rPr>
              <w:t>SPOT Review</w:t>
            </w:r>
          </w:p>
        </w:tc>
        <w:tc>
          <w:tcPr>
            <w:tcW w:w="6745" w:type="dxa"/>
          </w:tcPr>
          <w:p w14:paraId="448CD1DF" w14:textId="2D64C12F" w:rsidR="001945E0" w:rsidRPr="000E3BFE" w:rsidRDefault="00C05700" w:rsidP="000E3BFE">
            <w:pPr>
              <w:pStyle w:val="ListParagraph"/>
              <w:ind w:left="0"/>
              <w:rPr>
                <w:rFonts w:asciiTheme="minorHAnsi" w:hAnsiTheme="minorHAnsi"/>
              </w:rPr>
            </w:pPr>
            <w:r>
              <w:rPr>
                <w:rFonts w:asciiTheme="minorHAnsi" w:hAnsiTheme="minorHAnsi"/>
              </w:rPr>
              <w:t>Moved to next meeting.</w:t>
            </w:r>
          </w:p>
        </w:tc>
      </w:tr>
      <w:tr w:rsidR="00B074FC" w14:paraId="6C1EDCB2" w14:textId="77777777" w:rsidTr="3EF234D0">
        <w:tc>
          <w:tcPr>
            <w:tcW w:w="4045" w:type="dxa"/>
            <w:shd w:val="clear" w:color="auto" w:fill="D9D9D9" w:themeFill="background1" w:themeFillShade="D9"/>
          </w:tcPr>
          <w:p w14:paraId="70C0FB3A" w14:textId="3FD21BBA" w:rsidR="00B074FC" w:rsidRPr="00E81461" w:rsidRDefault="00B074FC" w:rsidP="00B074FC">
            <w:pPr>
              <w:rPr>
                <w:rFonts w:asciiTheme="minorHAnsi" w:hAnsiTheme="minorHAnsi"/>
                <w:b/>
              </w:rPr>
            </w:pPr>
            <w:r w:rsidRPr="00E81461">
              <w:rPr>
                <w:rFonts w:asciiTheme="minorHAnsi" w:hAnsiTheme="minorHAnsi"/>
                <w:b/>
              </w:rPr>
              <w:t>Announcements:</w:t>
            </w:r>
          </w:p>
        </w:tc>
        <w:tc>
          <w:tcPr>
            <w:tcW w:w="6745" w:type="dxa"/>
            <w:shd w:val="clear" w:color="auto" w:fill="D9D9D9" w:themeFill="background1" w:themeFillShade="D9"/>
          </w:tcPr>
          <w:p w14:paraId="3672C5E6" w14:textId="77777777" w:rsidR="00B074FC" w:rsidRPr="00E81461" w:rsidRDefault="00B074FC" w:rsidP="00B074FC">
            <w:pPr>
              <w:rPr>
                <w:rFonts w:asciiTheme="minorHAnsi" w:hAnsiTheme="minorHAnsi"/>
              </w:rPr>
            </w:pPr>
          </w:p>
        </w:tc>
      </w:tr>
      <w:tr w:rsidR="00B074FC" w14:paraId="3CF84E10" w14:textId="77777777" w:rsidTr="3EF234D0">
        <w:trPr>
          <w:trHeight w:val="530"/>
        </w:trPr>
        <w:tc>
          <w:tcPr>
            <w:tcW w:w="4045" w:type="dxa"/>
          </w:tcPr>
          <w:p w14:paraId="5D335797" w14:textId="451D4494" w:rsidR="00B074FC" w:rsidRPr="00622C23" w:rsidRDefault="00B074FC" w:rsidP="00B074FC">
            <w:pPr>
              <w:rPr>
                <w:rFonts w:asciiTheme="minorHAnsi" w:hAnsiTheme="minorHAnsi"/>
                <w:b/>
              </w:rPr>
            </w:pPr>
          </w:p>
        </w:tc>
        <w:tc>
          <w:tcPr>
            <w:tcW w:w="6745" w:type="dxa"/>
          </w:tcPr>
          <w:p w14:paraId="15B4323F" w14:textId="0351D3C2" w:rsidR="00B074FC" w:rsidRDefault="00B074FC" w:rsidP="00B074FC">
            <w:pPr>
              <w:rPr>
                <w:rFonts w:asciiTheme="minorHAnsi" w:hAnsiTheme="minorHAnsi"/>
              </w:rPr>
            </w:pPr>
          </w:p>
        </w:tc>
      </w:tr>
    </w:tbl>
    <w:p w14:paraId="4BEDCC78" w14:textId="587CB2F9" w:rsidR="008C097E" w:rsidRPr="007F7F4C" w:rsidRDefault="008C097E">
      <w:pPr>
        <w:rPr>
          <w:rFonts w:asciiTheme="minorHAnsi" w:hAnsiTheme="minorHAnsi"/>
        </w:rPr>
      </w:pPr>
    </w:p>
    <w:p w14:paraId="57609FBF" w14:textId="5CC7DC7E" w:rsidR="0008498D" w:rsidRPr="005263AA" w:rsidRDefault="0008498D" w:rsidP="0008498D">
      <w:pPr>
        <w:pStyle w:val="Subtitle"/>
        <w:pBdr>
          <w:bottom w:val="single" w:sz="4" w:space="1" w:color="auto"/>
        </w:pBdr>
        <w:jc w:val="left"/>
        <w:rPr>
          <w:rFonts w:asciiTheme="minorHAnsi" w:hAnsiTheme="minorHAnsi"/>
          <w:b/>
          <w:sz w:val="20"/>
          <w:szCs w:val="20"/>
        </w:rPr>
      </w:pPr>
      <w:r w:rsidRPr="005263AA">
        <w:rPr>
          <w:rFonts w:asciiTheme="minorHAnsi" w:hAnsiTheme="minorHAnsi"/>
          <w:b/>
          <w:sz w:val="20"/>
          <w:szCs w:val="20"/>
        </w:rPr>
        <w:t>F</w:t>
      </w:r>
      <w:r w:rsidR="00B074FC">
        <w:rPr>
          <w:rFonts w:asciiTheme="minorHAnsi" w:hAnsiTheme="minorHAnsi"/>
          <w:b/>
          <w:sz w:val="20"/>
          <w:szCs w:val="20"/>
        </w:rPr>
        <w:t>all 2018 semester dates –</w:t>
      </w:r>
      <w:r w:rsidRPr="005263AA">
        <w:rPr>
          <w:rFonts w:asciiTheme="minorHAnsi" w:hAnsiTheme="minorHAnsi"/>
          <w:b/>
          <w:sz w:val="20"/>
          <w:szCs w:val="20"/>
        </w:rPr>
        <w:t>10/9, 10/23, 11/13, 11/27, 12/11 (Finals Week) 8 meetings</w:t>
      </w:r>
    </w:p>
    <w:p w14:paraId="6C95E618" w14:textId="7D0D3656" w:rsidR="008C097E" w:rsidRPr="00E81461" w:rsidRDefault="008C097E" w:rsidP="008C097E">
      <w:pPr>
        <w:pStyle w:val="Subtitle"/>
        <w:jc w:val="left"/>
        <w:rPr>
          <w:rFonts w:ascii="Arial Narrow" w:hAnsi="Arial Narrow"/>
          <w:b/>
          <w:sz w:val="24"/>
        </w:rPr>
      </w:pPr>
      <w:r w:rsidRPr="00E81461">
        <w:rPr>
          <w:rFonts w:ascii="Arial Narrow" w:hAnsi="Arial Narrow"/>
          <w:b/>
          <w:sz w:val="24"/>
        </w:rPr>
        <w:t>DLC Meetings - 2</w:t>
      </w:r>
      <w:r w:rsidRPr="00E81461">
        <w:rPr>
          <w:rFonts w:ascii="Arial Narrow" w:hAnsi="Arial Narrow"/>
          <w:b/>
          <w:sz w:val="24"/>
          <w:vertAlign w:val="superscript"/>
        </w:rPr>
        <w:t>nd</w:t>
      </w:r>
      <w:r w:rsidRPr="00E81461">
        <w:rPr>
          <w:rFonts w:ascii="Arial Narrow" w:hAnsi="Arial Narrow"/>
          <w:b/>
          <w:sz w:val="24"/>
        </w:rPr>
        <w:t xml:space="preserve"> and 4</w:t>
      </w:r>
      <w:r w:rsidRPr="00E81461">
        <w:rPr>
          <w:rFonts w:ascii="Arial Narrow" w:hAnsi="Arial Narrow"/>
          <w:b/>
          <w:sz w:val="24"/>
          <w:vertAlign w:val="superscript"/>
        </w:rPr>
        <w:t>th</w:t>
      </w:r>
      <w:r w:rsidRPr="00E81461">
        <w:rPr>
          <w:rFonts w:ascii="Arial Narrow" w:hAnsi="Arial Narrow"/>
          <w:b/>
          <w:sz w:val="24"/>
        </w:rPr>
        <w:t xml:space="preserve"> Tue</w:t>
      </w:r>
      <w:r w:rsidR="007F7F4C">
        <w:rPr>
          <w:rFonts w:ascii="Arial Narrow" w:hAnsi="Arial Narrow"/>
          <w:b/>
          <w:sz w:val="24"/>
        </w:rPr>
        <w:t>sdays at 1:05 – 2:35 PM in</w:t>
      </w:r>
      <w:r w:rsidRPr="00E81461">
        <w:rPr>
          <w:rFonts w:ascii="Arial Narrow" w:hAnsi="Arial Narrow"/>
          <w:b/>
          <w:sz w:val="24"/>
        </w:rPr>
        <w:t xml:space="preserve"> </w:t>
      </w:r>
      <w:r w:rsidR="009F4494">
        <w:rPr>
          <w:rFonts w:ascii="Arial Narrow" w:hAnsi="Arial Narrow"/>
          <w:b/>
          <w:sz w:val="24"/>
        </w:rPr>
        <w:t>6-226A</w:t>
      </w:r>
    </w:p>
    <w:p w14:paraId="4DA9196F" w14:textId="77777777" w:rsidR="008C097E" w:rsidRPr="00E81461" w:rsidRDefault="008C097E" w:rsidP="008C097E">
      <w:pPr>
        <w:pStyle w:val="Subtitle"/>
        <w:jc w:val="left"/>
        <w:rPr>
          <w:rFonts w:ascii="Arial" w:hAnsi="Arial" w:cs="Arial"/>
          <w:sz w:val="24"/>
        </w:rPr>
      </w:pPr>
      <w:r w:rsidRPr="00E81461">
        <w:rPr>
          <w:rFonts w:ascii="Arial" w:hAnsi="Arial" w:cs="Arial"/>
          <w:sz w:val="24"/>
        </w:rPr>
        <w:t>DLC website:  http://www.mtsac.edu/instruction/learning/distlearn/</w:t>
      </w:r>
    </w:p>
    <w:p w14:paraId="4DF4C3B9" w14:textId="6B09E878" w:rsidR="008C097E" w:rsidRDefault="008C097E" w:rsidP="00016B10">
      <w:pPr>
        <w:pStyle w:val="Subtitle"/>
        <w:jc w:val="left"/>
        <w:rPr>
          <w:rStyle w:val="Hyperlink"/>
          <w:rFonts w:ascii="Arial" w:hAnsi="Arial" w:cs="Arial"/>
          <w:sz w:val="24"/>
        </w:rPr>
      </w:pPr>
      <w:r w:rsidRPr="00E81461">
        <w:rPr>
          <w:rFonts w:ascii="Arial" w:hAnsi="Arial" w:cs="Arial"/>
          <w:sz w:val="24"/>
        </w:rPr>
        <w:t xml:space="preserve">DLC listserv:   </w:t>
      </w:r>
      <w:hyperlink r:id="rId8" w:history="1">
        <w:r w:rsidRPr="00E81461">
          <w:rPr>
            <w:rStyle w:val="Hyperlink"/>
            <w:rFonts w:ascii="Arial" w:hAnsi="Arial" w:cs="Arial"/>
            <w:sz w:val="24"/>
          </w:rPr>
          <w:t>dlc@mtsac.edu</w:t>
        </w:r>
      </w:hyperlink>
    </w:p>
    <w:p w14:paraId="76282AFE" w14:textId="77777777" w:rsidR="00A62E5B" w:rsidRPr="00016B10" w:rsidRDefault="00A62E5B" w:rsidP="00016B10">
      <w:pPr>
        <w:pStyle w:val="Subtitle"/>
        <w:jc w:val="left"/>
        <w:rPr>
          <w:rFonts w:ascii="Arial" w:hAnsi="Arial" w:cs="Arial"/>
          <w:sz w:val="24"/>
        </w:rPr>
      </w:pPr>
    </w:p>
    <w:p w14:paraId="420563C1" w14:textId="162E6EFE" w:rsidR="00DA198B" w:rsidRDefault="00DA198B"/>
    <w:p w14:paraId="0E64D0FB" w14:textId="7810065D" w:rsidR="00016B10" w:rsidRDefault="00016B10">
      <w:pPr>
        <w:rPr>
          <w:b/>
        </w:rPr>
      </w:pPr>
      <w:r w:rsidRPr="00016B10">
        <w:rPr>
          <w:b/>
        </w:rPr>
        <w:t>DLC Accreditation Themes</w:t>
      </w:r>
      <w:r>
        <w:rPr>
          <w:b/>
        </w:rPr>
        <w:t>:</w:t>
      </w:r>
    </w:p>
    <w:p w14:paraId="19D10F14" w14:textId="31081CB5" w:rsidR="00016B10" w:rsidRPr="00016B10" w:rsidRDefault="00016B10" w:rsidP="00016B10">
      <w:pPr>
        <w:pStyle w:val="ListParagraph"/>
        <w:numPr>
          <w:ilvl w:val="0"/>
          <w:numId w:val="7"/>
        </w:numPr>
      </w:pPr>
      <w:r w:rsidRPr="00C30782">
        <w:rPr>
          <w:highlight w:val="yellow"/>
        </w:rPr>
        <w:t>IIA. Instructional Programs</w:t>
      </w:r>
      <w:r w:rsidRPr="00450900">
        <w:t xml:space="preserve"> – </w:t>
      </w:r>
      <w:r w:rsidRPr="00016B10">
        <w:t>Uses delivery modes, including DL, in support of equity</w:t>
      </w:r>
    </w:p>
    <w:p w14:paraId="1F421663" w14:textId="3F750FCF" w:rsidR="00016B10" w:rsidRDefault="00016B10" w:rsidP="00016B10">
      <w:pPr>
        <w:pStyle w:val="ListParagraph"/>
        <w:numPr>
          <w:ilvl w:val="0"/>
          <w:numId w:val="7"/>
        </w:numPr>
      </w:pPr>
      <w:r w:rsidRPr="00C30782">
        <w:rPr>
          <w:highlight w:val="yellow"/>
        </w:rPr>
        <w:t>IIIC. Technology Resources</w:t>
      </w:r>
      <w:r w:rsidRPr="00016B10">
        <w:t xml:space="preserve"> – Provides support in the use of technology</w:t>
      </w:r>
    </w:p>
    <w:p w14:paraId="08EC5D5B" w14:textId="77777777" w:rsidR="00C71E20" w:rsidRDefault="00C71E20" w:rsidP="00C71E20">
      <w:pPr>
        <w:ind w:left="360"/>
      </w:pPr>
    </w:p>
    <w:p w14:paraId="60D3F516" w14:textId="77777777" w:rsidR="0008498D" w:rsidRPr="00016B10" w:rsidRDefault="0008498D" w:rsidP="0008498D"/>
    <w:sectPr w:rsidR="0008498D" w:rsidRPr="00016B10" w:rsidSect="009D3C7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6B818EF" w16cid:durableId="46AE9C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B9724" w14:textId="77777777" w:rsidR="002452C7" w:rsidRDefault="002452C7" w:rsidP="005E5603">
      <w:r>
        <w:separator/>
      </w:r>
    </w:p>
  </w:endnote>
  <w:endnote w:type="continuationSeparator" w:id="0">
    <w:p w14:paraId="0F11476E" w14:textId="77777777" w:rsidR="002452C7" w:rsidRDefault="002452C7"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7669" w14:textId="77777777" w:rsidR="00A85D08" w:rsidRDefault="00A8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C914" w14:textId="77777777" w:rsidR="00A85D08" w:rsidRDefault="00A85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1374" w14:textId="77777777" w:rsidR="00A85D08" w:rsidRDefault="00A8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1C052" w14:textId="77777777" w:rsidR="002452C7" w:rsidRDefault="002452C7" w:rsidP="005E5603">
      <w:r>
        <w:separator/>
      </w:r>
    </w:p>
  </w:footnote>
  <w:footnote w:type="continuationSeparator" w:id="0">
    <w:p w14:paraId="5F485CEE" w14:textId="77777777" w:rsidR="002452C7" w:rsidRDefault="002452C7"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EF43" w14:textId="77777777" w:rsidR="00A85D08" w:rsidRDefault="00A8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1CB2" w14:textId="75CC55A3" w:rsidR="00A85D08" w:rsidRDefault="00A85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BD88" w14:textId="77777777" w:rsidR="00A85D08" w:rsidRDefault="00A8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3EC1B19"/>
    <w:multiLevelType w:val="hybridMultilevel"/>
    <w:tmpl w:val="6A5CA5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7C82D04"/>
    <w:multiLevelType w:val="hybridMultilevel"/>
    <w:tmpl w:val="4EB6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3748B"/>
    <w:multiLevelType w:val="hybridMultilevel"/>
    <w:tmpl w:val="B570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E42C2"/>
    <w:multiLevelType w:val="hybridMultilevel"/>
    <w:tmpl w:val="94E6D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6897"/>
    <w:multiLevelType w:val="hybridMultilevel"/>
    <w:tmpl w:val="F3C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5324E"/>
    <w:multiLevelType w:val="hybridMultilevel"/>
    <w:tmpl w:val="2CC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96152"/>
    <w:multiLevelType w:val="hybridMultilevel"/>
    <w:tmpl w:val="1CFE98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7E50BFD"/>
    <w:multiLevelType w:val="multilevel"/>
    <w:tmpl w:val="255CB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026BC"/>
    <w:multiLevelType w:val="hybridMultilevel"/>
    <w:tmpl w:val="66B6D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432C7"/>
    <w:multiLevelType w:val="hybridMultilevel"/>
    <w:tmpl w:val="85D6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77905"/>
    <w:multiLevelType w:val="hybridMultilevel"/>
    <w:tmpl w:val="32CAC7D8"/>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8A63ECD"/>
    <w:multiLevelType w:val="hybridMultilevel"/>
    <w:tmpl w:val="E3A6E7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50A91750"/>
    <w:multiLevelType w:val="hybridMultilevel"/>
    <w:tmpl w:val="10E8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33776"/>
    <w:multiLevelType w:val="hybridMultilevel"/>
    <w:tmpl w:val="E132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A4A5B"/>
    <w:multiLevelType w:val="multilevel"/>
    <w:tmpl w:val="83409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430D1"/>
    <w:multiLevelType w:val="hybridMultilevel"/>
    <w:tmpl w:val="A586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A94817"/>
    <w:multiLevelType w:val="hybridMultilevel"/>
    <w:tmpl w:val="BDCE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Helv" w:hAnsi="Helv" w:hint="default"/>
        </w:rPr>
      </w:lvl>
    </w:lvlOverride>
  </w:num>
  <w:num w:numId="2">
    <w:abstractNumId w:val="8"/>
  </w:num>
  <w:num w:numId="3">
    <w:abstractNumId w:val="15"/>
  </w:num>
  <w:num w:numId="4">
    <w:abstractNumId w:val="12"/>
  </w:num>
  <w:num w:numId="5">
    <w:abstractNumId w:val="1"/>
  </w:num>
  <w:num w:numId="6">
    <w:abstractNumId w:val="7"/>
  </w:num>
  <w:num w:numId="7">
    <w:abstractNumId w:val="4"/>
  </w:num>
  <w:num w:numId="8">
    <w:abstractNumId w:val="13"/>
  </w:num>
  <w:num w:numId="9">
    <w:abstractNumId w:val="5"/>
  </w:num>
  <w:num w:numId="10">
    <w:abstractNumId w:val="6"/>
  </w:num>
  <w:num w:numId="11">
    <w:abstractNumId w:val="16"/>
  </w:num>
  <w:num w:numId="12">
    <w:abstractNumId w:val="9"/>
  </w:num>
  <w:num w:numId="13">
    <w:abstractNumId w:val="10"/>
  </w:num>
  <w:num w:numId="14">
    <w:abstractNumId w:val="2"/>
  </w:num>
  <w:num w:numId="15">
    <w:abstractNumId w:val="17"/>
  </w:num>
  <w:num w:numId="16">
    <w:abstractNumId w:val="14"/>
  </w:num>
  <w:num w:numId="17">
    <w:abstractNumId w:val="18"/>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45"/>
    <w:rsid w:val="00002649"/>
    <w:rsid w:val="00013AD8"/>
    <w:rsid w:val="00016B10"/>
    <w:rsid w:val="000250A4"/>
    <w:rsid w:val="00031DA7"/>
    <w:rsid w:val="00070F09"/>
    <w:rsid w:val="000770CB"/>
    <w:rsid w:val="0008498D"/>
    <w:rsid w:val="00086C7A"/>
    <w:rsid w:val="000B62CD"/>
    <w:rsid w:val="000D0703"/>
    <w:rsid w:val="000E266F"/>
    <w:rsid w:val="000E3BFE"/>
    <w:rsid w:val="000E7C12"/>
    <w:rsid w:val="000F10F8"/>
    <w:rsid w:val="001208AD"/>
    <w:rsid w:val="00127C53"/>
    <w:rsid w:val="001529C1"/>
    <w:rsid w:val="00153646"/>
    <w:rsid w:val="00177810"/>
    <w:rsid w:val="001945E0"/>
    <w:rsid w:val="001B7CEF"/>
    <w:rsid w:val="001D46A6"/>
    <w:rsid w:val="001F1072"/>
    <w:rsid w:val="002278AD"/>
    <w:rsid w:val="00234D98"/>
    <w:rsid w:val="0023723E"/>
    <w:rsid w:val="002452C7"/>
    <w:rsid w:val="0027595F"/>
    <w:rsid w:val="00281AC6"/>
    <w:rsid w:val="002B0058"/>
    <w:rsid w:val="002B7C42"/>
    <w:rsid w:val="002C2F53"/>
    <w:rsid w:val="002D2890"/>
    <w:rsid w:val="00303238"/>
    <w:rsid w:val="00310070"/>
    <w:rsid w:val="00326FAC"/>
    <w:rsid w:val="003357C7"/>
    <w:rsid w:val="00346CD6"/>
    <w:rsid w:val="00352837"/>
    <w:rsid w:val="0035764D"/>
    <w:rsid w:val="00370C43"/>
    <w:rsid w:val="00386A4B"/>
    <w:rsid w:val="003917CB"/>
    <w:rsid w:val="003B1195"/>
    <w:rsid w:val="003B4588"/>
    <w:rsid w:val="003D48D0"/>
    <w:rsid w:val="003E6445"/>
    <w:rsid w:val="004067F1"/>
    <w:rsid w:val="004105ED"/>
    <w:rsid w:val="0041115F"/>
    <w:rsid w:val="00413DEF"/>
    <w:rsid w:val="00417451"/>
    <w:rsid w:val="004249C3"/>
    <w:rsid w:val="00435E00"/>
    <w:rsid w:val="0044267C"/>
    <w:rsid w:val="00450900"/>
    <w:rsid w:val="00450B36"/>
    <w:rsid w:val="00462478"/>
    <w:rsid w:val="00480C29"/>
    <w:rsid w:val="00490AE0"/>
    <w:rsid w:val="004A3735"/>
    <w:rsid w:val="004B5936"/>
    <w:rsid w:val="004B616F"/>
    <w:rsid w:val="004C2F2B"/>
    <w:rsid w:val="004C7C85"/>
    <w:rsid w:val="004D4742"/>
    <w:rsid w:val="004E3770"/>
    <w:rsid w:val="004F3E7E"/>
    <w:rsid w:val="00514971"/>
    <w:rsid w:val="00515600"/>
    <w:rsid w:val="0054614E"/>
    <w:rsid w:val="00567C4E"/>
    <w:rsid w:val="005702EE"/>
    <w:rsid w:val="005704FA"/>
    <w:rsid w:val="00572F94"/>
    <w:rsid w:val="00577FAC"/>
    <w:rsid w:val="00582835"/>
    <w:rsid w:val="005871C8"/>
    <w:rsid w:val="00595862"/>
    <w:rsid w:val="00596D87"/>
    <w:rsid w:val="005D2BB3"/>
    <w:rsid w:val="005D409C"/>
    <w:rsid w:val="005D75E4"/>
    <w:rsid w:val="005E5603"/>
    <w:rsid w:val="005E724F"/>
    <w:rsid w:val="005F0A63"/>
    <w:rsid w:val="00602E8C"/>
    <w:rsid w:val="006114E7"/>
    <w:rsid w:val="0061418D"/>
    <w:rsid w:val="00622C23"/>
    <w:rsid w:val="006274D9"/>
    <w:rsid w:val="00635E22"/>
    <w:rsid w:val="00641F93"/>
    <w:rsid w:val="006529D9"/>
    <w:rsid w:val="00661716"/>
    <w:rsid w:val="0067368B"/>
    <w:rsid w:val="00691647"/>
    <w:rsid w:val="006927AF"/>
    <w:rsid w:val="006939A1"/>
    <w:rsid w:val="006A12A1"/>
    <w:rsid w:val="006A2499"/>
    <w:rsid w:val="006A5B58"/>
    <w:rsid w:val="006A6493"/>
    <w:rsid w:val="006C7495"/>
    <w:rsid w:val="0071201C"/>
    <w:rsid w:val="00723E45"/>
    <w:rsid w:val="007326C7"/>
    <w:rsid w:val="007721D3"/>
    <w:rsid w:val="007761B9"/>
    <w:rsid w:val="00782712"/>
    <w:rsid w:val="007A3973"/>
    <w:rsid w:val="007F4D08"/>
    <w:rsid w:val="007F7F4C"/>
    <w:rsid w:val="008012A8"/>
    <w:rsid w:val="008019A3"/>
    <w:rsid w:val="00813919"/>
    <w:rsid w:val="00824305"/>
    <w:rsid w:val="00831A9F"/>
    <w:rsid w:val="00831D34"/>
    <w:rsid w:val="00832999"/>
    <w:rsid w:val="008418DB"/>
    <w:rsid w:val="008641FC"/>
    <w:rsid w:val="00867480"/>
    <w:rsid w:val="00867763"/>
    <w:rsid w:val="0088297F"/>
    <w:rsid w:val="008854DD"/>
    <w:rsid w:val="0088675E"/>
    <w:rsid w:val="008B1AF3"/>
    <w:rsid w:val="008C097E"/>
    <w:rsid w:val="008C5136"/>
    <w:rsid w:val="008C7200"/>
    <w:rsid w:val="008D3FD8"/>
    <w:rsid w:val="008D6A35"/>
    <w:rsid w:val="008E6860"/>
    <w:rsid w:val="008E6B2D"/>
    <w:rsid w:val="008F0B22"/>
    <w:rsid w:val="00916A25"/>
    <w:rsid w:val="00920723"/>
    <w:rsid w:val="00922473"/>
    <w:rsid w:val="00945D34"/>
    <w:rsid w:val="009524E5"/>
    <w:rsid w:val="00953201"/>
    <w:rsid w:val="00953220"/>
    <w:rsid w:val="009713D2"/>
    <w:rsid w:val="00971C3E"/>
    <w:rsid w:val="009A50AF"/>
    <w:rsid w:val="009B2E51"/>
    <w:rsid w:val="009D3C79"/>
    <w:rsid w:val="009D3E31"/>
    <w:rsid w:val="009E4B6B"/>
    <w:rsid w:val="009F4494"/>
    <w:rsid w:val="00A056E8"/>
    <w:rsid w:val="00A3175F"/>
    <w:rsid w:val="00A3414E"/>
    <w:rsid w:val="00A43EB2"/>
    <w:rsid w:val="00A62E5B"/>
    <w:rsid w:val="00A80BCC"/>
    <w:rsid w:val="00A81A92"/>
    <w:rsid w:val="00A85B15"/>
    <w:rsid w:val="00A85D08"/>
    <w:rsid w:val="00A9003F"/>
    <w:rsid w:val="00A947FC"/>
    <w:rsid w:val="00AA7A2B"/>
    <w:rsid w:val="00AB247F"/>
    <w:rsid w:val="00AD7642"/>
    <w:rsid w:val="00AE4D64"/>
    <w:rsid w:val="00B067F6"/>
    <w:rsid w:val="00B074FC"/>
    <w:rsid w:val="00B4160C"/>
    <w:rsid w:val="00B43014"/>
    <w:rsid w:val="00B46263"/>
    <w:rsid w:val="00B91C4A"/>
    <w:rsid w:val="00BA135E"/>
    <w:rsid w:val="00BF1E2F"/>
    <w:rsid w:val="00C05700"/>
    <w:rsid w:val="00C22828"/>
    <w:rsid w:val="00C30782"/>
    <w:rsid w:val="00C36280"/>
    <w:rsid w:val="00C549E7"/>
    <w:rsid w:val="00C71E20"/>
    <w:rsid w:val="00C8541C"/>
    <w:rsid w:val="00C85E60"/>
    <w:rsid w:val="00CC282E"/>
    <w:rsid w:val="00CD763F"/>
    <w:rsid w:val="00D3036F"/>
    <w:rsid w:val="00D4321B"/>
    <w:rsid w:val="00D579E4"/>
    <w:rsid w:val="00D631FF"/>
    <w:rsid w:val="00D824D0"/>
    <w:rsid w:val="00DA198B"/>
    <w:rsid w:val="00DA4C74"/>
    <w:rsid w:val="00DC272C"/>
    <w:rsid w:val="00DD2073"/>
    <w:rsid w:val="00DD284C"/>
    <w:rsid w:val="00DD7E3D"/>
    <w:rsid w:val="00E31FD3"/>
    <w:rsid w:val="00E322CE"/>
    <w:rsid w:val="00E377B6"/>
    <w:rsid w:val="00E55C72"/>
    <w:rsid w:val="00E57CA4"/>
    <w:rsid w:val="00E64C4B"/>
    <w:rsid w:val="00E81461"/>
    <w:rsid w:val="00ED5369"/>
    <w:rsid w:val="00ED78B0"/>
    <w:rsid w:val="00EF0DE3"/>
    <w:rsid w:val="00F167BB"/>
    <w:rsid w:val="00F22B06"/>
    <w:rsid w:val="00F235CD"/>
    <w:rsid w:val="00F5027F"/>
    <w:rsid w:val="00F64627"/>
    <w:rsid w:val="00F65F73"/>
    <w:rsid w:val="00F70DEE"/>
    <w:rsid w:val="00F740FA"/>
    <w:rsid w:val="00F92FC0"/>
    <w:rsid w:val="00F9417A"/>
    <w:rsid w:val="00FA6A46"/>
    <w:rsid w:val="00FB3AEA"/>
    <w:rsid w:val="00FC4E3D"/>
    <w:rsid w:val="00FE1DBC"/>
    <w:rsid w:val="00FF1957"/>
    <w:rsid w:val="00FF1FCD"/>
    <w:rsid w:val="00FF79B8"/>
    <w:rsid w:val="199FB105"/>
    <w:rsid w:val="3EF234D0"/>
    <w:rsid w:val="7B0E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semiHidden/>
    <w:unhideWhenUsed/>
    <w:rsid w:val="00016B10"/>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c@mtsac.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567c4e74b1554dbb"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2</cp:revision>
  <cp:lastPrinted>2018-09-24T20:38:00Z</cp:lastPrinted>
  <dcterms:created xsi:type="dcterms:W3CDTF">2018-10-10T23:59:00Z</dcterms:created>
  <dcterms:modified xsi:type="dcterms:W3CDTF">2018-10-10T23:59:00Z</dcterms:modified>
</cp:coreProperties>
</file>