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26CEA7C" w:rsidR="005A4AB0" w:rsidRPr="00692D67" w:rsidRDefault="00AB2FC3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March, 11, 2025</w:t>
      </w:r>
      <w:r w:rsidR="000E5111">
        <w:rPr>
          <w:sz w:val="22"/>
          <w:szCs w:val="22"/>
          <w:u w:val="none"/>
        </w:rPr>
        <w:t xml:space="preserve"> </w:t>
      </w:r>
      <w:r w:rsidR="00EF3C97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3E5FEE" w:rsidR="00FB0803" w:rsidRPr="00781A90" w:rsidRDefault="00DB6B00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21D104A6" w:rsidR="000A7125" w:rsidRDefault="00DB6B0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A8E4130" w:rsidR="00776A20" w:rsidRPr="00A16E29" w:rsidRDefault="00FF729C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EED90F" w:rsidR="00452A42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1C5FA0FF" w:rsidR="000A7125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506BD390" w:rsidR="005946FC" w:rsidRPr="000A7125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52E90">
        <w:rPr>
          <w:rFonts w:asciiTheme="majorHAnsi" w:hAnsiTheme="majorHAnsi" w:cstheme="minorHAnsi"/>
          <w:sz w:val="16"/>
          <w:szCs w:val="16"/>
          <w:u w:val="none"/>
        </w:rPr>
        <w:t>Shelley Doonan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626F16DF" w:rsidR="00781A90" w:rsidRPr="00781A90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2D1D11B" w:rsidR="005946FC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0D235512" w:rsidR="00452A42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E63E76E" w:rsidR="009051FE" w:rsidRDefault="00FF72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7703470D" w:rsidR="00781A90" w:rsidRPr="00781A90" w:rsidRDefault="00FF729C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A7125"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94B4182" w:rsidR="00781A90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19492CD6" w:rsidR="00426EC7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79CA3F1" w:rsidR="00781A90" w:rsidRDefault="00DB6B0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39BF6F23" w:rsidR="007F265C" w:rsidRPr="00DD6F1C" w:rsidRDefault="00FF729C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 with flexibility.</w:t>
            </w: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795344B4" w:rsidR="00356F7D" w:rsidRPr="008C2468" w:rsidRDefault="00356F7D" w:rsidP="00356F7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  <w:szCs w:val="20"/>
              </w:rPr>
            </w:pPr>
            <w:r w:rsidRPr="008C2468">
              <w:rPr>
                <w:rFonts w:cstheme="minorHAnsi"/>
                <w:bCs/>
                <w:szCs w:val="20"/>
              </w:rPr>
              <w:t>Confirmation of C&amp;I vote to approve EDC minutes 12/</w:t>
            </w:r>
            <w:r w:rsidR="00FF729C" w:rsidRPr="008C2468">
              <w:rPr>
                <w:rFonts w:cstheme="minorHAnsi"/>
                <w:bCs/>
                <w:szCs w:val="20"/>
              </w:rPr>
              <w:t>1</w:t>
            </w:r>
            <w:r w:rsidR="00C73B66" w:rsidRPr="008C2468">
              <w:rPr>
                <w:rFonts w:cstheme="minorHAnsi"/>
                <w:bCs/>
                <w:szCs w:val="20"/>
              </w:rPr>
              <w:t>4</w:t>
            </w:r>
            <w:r w:rsidRPr="008C2468">
              <w:rPr>
                <w:rFonts w:cstheme="minorHAnsi"/>
                <w:bCs/>
                <w:szCs w:val="20"/>
              </w:rPr>
              <w:t>/2</w:t>
            </w:r>
            <w:r w:rsidR="00FF729C" w:rsidRPr="008C2468">
              <w:rPr>
                <w:rFonts w:cstheme="minorHAnsi"/>
                <w:bCs/>
                <w:szCs w:val="20"/>
              </w:rPr>
              <w:t>4</w:t>
            </w:r>
            <w:r w:rsidRPr="008C2468">
              <w:rPr>
                <w:rFonts w:cstheme="minorHAnsi"/>
                <w:bCs/>
                <w:szCs w:val="20"/>
              </w:rPr>
              <w:t xml:space="preserve"> &amp; 1/4/2025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30DF489A" w:rsidR="00F04272" w:rsidRPr="008C2468" w:rsidRDefault="00FF729C" w:rsidP="000A7125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r w:rsidRPr="008C2468">
              <w:rPr>
                <w:rFonts w:asciiTheme="minorHAnsi" w:hAnsiTheme="minorHAnsi" w:cstheme="minorHAnsi"/>
                <w:szCs w:val="20"/>
                <w:u w:val="none"/>
              </w:rPr>
              <w:t>Minutes from EDC 12/1</w:t>
            </w:r>
            <w:r w:rsidR="00B7694C" w:rsidRPr="008C2468">
              <w:rPr>
                <w:rFonts w:asciiTheme="minorHAnsi" w:hAnsiTheme="minorHAnsi" w:cstheme="minorHAnsi"/>
                <w:szCs w:val="20"/>
                <w:u w:val="none"/>
              </w:rPr>
              <w:t>4</w:t>
            </w:r>
            <w:r w:rsidRPr="008C2468">
              <w:rPr>
                <w:rFonts w:asciiTheme="minorHAnsi" w:hAnsiTheme="minorHAnsi" w:cstheme="minorHAnsi"/>
                <w:szCs w:val="20"/>
                <w:u w:val="none"/>
              </w:rPr>
              <w:t xml:space="preserve">/24 and 1/4/25 were approved via email by C&amp;I. </w:t>
            </w: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0F9814C1" w:rsidR="00863921" w:rsidRPr="0024029B" w:rsidRDefault="006335B7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10, 2024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4A33D9E" w14:textId="212CDE7C" w:rsidR="00AB2FC3" w:rsidRDefault="00752E90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February 25, 2025</w:t>
            </w:r>
          </w:p>
          <w:p w14:paraId="050D3B58" w14:textId="1A07B14F" w:rsidR="00EF3C97" w:rsidRDefault="00EF3C97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4, 2025</w:t>
            </w:r>
          </w:p>
          <w:p w14:paraId="48B716E7" w14:textId="0D14D41D" w:rsidR="00EF3C97" w:rsidRDefault="00EF3C97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11,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29FB39E7" w14:textId="77777777" w:rsidR="00C73B66" w:rsidRDefault="00C73B66" w:rsidP="00C73B66">
            <w:pPr>
              <w:rPr>
                <w:rFonts w:ascii="Calibri" w:hAnsi="Calibri" w:cs="Calibri"/>
                <w:szCs w:val="20"/>
              </w:rPr>
            </w:pPr>
          </w:p>
          <w:p w14:paraId="7B86D5BE" w14:textId="77777777" w:rsidR="00C73B66" w:rsidRDefault="00C73B66" w:rsidP="00C73B66">
            <w:pPr>
              <w:rPr>
                <w:rFonts w:ascii="Calibri" w:hAnsi="Calibri" w:cs="Calibri"/>
                <w:szCs w:val="20"/>
              </w:rPr>
            </w:pPr>
          </w:p>
          <w:p w14:paraId="6E1AE4D7" w14:textId="7734E81A" w:rsidR="00B11446" w:rsidRPr="00C73B66" w:rsidRDefault="00C73B66" w:rsidP="00C73B66">
            <w:pPr>
              <w:pStyle w:val="ListParagraph"/>
              <w:numPr>
                <w:ilvl w:val="1"/>
                <w:numId w:val="2"/>
              </w:numPr>
              <w:rPr>
                <w:rFonts w:ascii="Calibri" w:hAnsi="Calibri" w:cs="Calibri"/>
                <w:szCs w:val="20"/>
              </w:rPr>
            </w:pPr>
            <w:r w:rsidRPr="00C73B66">
              <w:rPr>
                <w:rFonts w:ascii="Calibri" w:hAnsi="Calibri" w:cs="Calibri"/>
                <w:szCs w:val="20"/>
              </w:rPr>
              <w:t>Accepted</w:t>
            </w:r>
          </w:p>
          <w:p w14:paraId="3D562D81" w14:textId="77777777" w:rsidR="00C73B66" w:rsidRDefault="00C73B66" w:rsidP="00C73B66">
            <w:pPr>
              <w:rPr>
                <w:rFonts w:ascii="Calibri" w:hAnsi="Calibri" w:cs="Calibri"/>
                <w:szCs w:val="20"/>
              </w:rPr>
            </w:pPr>
          </w:p>
          <w:p w14:paraId="17F65169" w14:textId="56307190" w:rsidR="00C73B66" w:rsidRDefault="00C73B66" w:rsidP="00C73B6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52C5A8AC" w14:textId="5FB90B26" w:rsidR="00C73B66" w:rsidRDefault="00462A7A" w:rsidP="00C73B6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30A9B70A" w14:textId="60CD1BF8" w:rsidR="00462A7A" w:rsidRPr="00C73B66" w:rsidRDefault="00462A7A" w:rsidP="00C73B6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79F2D0E3" w14:textId="41BD3986" w:rsidR="00AB2FC3" w:rsidRDefault="00356F7D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SOC 160</w:t>
            </w:r>
            <w:r w:rsidR="00B159B5">
              <w:rPr>
                <w:rFonts w:asciiTheme="majorHAnsi" w:hAnsiTheme="majorHAnsi" w:cstheme="majorHAnsi"/>
                <w:bCs/>
              </w:rPr>
              <w:t xml:space="preserve"> - </w:t>
            </w:r>
            <w:r w:rsidR="00B159B5" w:rsidRPr="00B159B5">
              <w:rPr>
                <w:rFonts w:asciiTheme="majorHAnsi" w:hAnsiTheme="majorHAnsi" w:cstheme="majorHAnsi"/>
                <w:bCs/>
              </w:rPr>
              <w:t>Public Health and Social Justice</w:t>
            </w:r>
          </w:p>
          <w:p w14:paraId="5BB9F42A" w14:textId="6387C3C6" w:rsidR="00356F7D" w:rsidRDefault="00356F7D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PUBH 23</w:t>
            </w:r>
            <w:r w:rsidR="00B159B5">
              <w:rPr>
                <w:rFonts w:asciiTheme="majorHAnsi" w:hAnsiTheme="majorHAnsi" w:cstheme="majorHAnsi"/>
                <w:bCs/>
              </w:rPr>
              <w:t xml:space="preserve"> - </w:t>
            </w:r>
            <w:r w:rsidR="00B159B5" w:rsidRPr="00B159B5">
              <w:rPr>
                <w:rFonts w:asciiTheme="majorHAnsi" w:hAnsiTheme="majorHAnsi" w:cstheme="majorHAnsi"/>
                <w:bCs/>
              </w:rPr>
              <w:t>Women's Health</w:t>
            </w:r>
          </w:p>
          <w:p w14:paraId="01B43792" w14:textId="2FA7A5CC" w:rsidR="00356F7D" w:rsidRDefault="00356F7D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PUBH 25</w:t>
            </w:r>
            <w:r w:rsidR="00B159B5">
              <w:rPr>
                <w:rFonts w:asciiTheme="majorHAnsi" w:hAnsiTheme="majorHAnsi" w:cstheme="majorHAnsi"/>
                <w:bCs/>
              </w:rPr>
              <w:t xml:space="preserve"> - </w:t>
            </w:r>
            <w:r w:rsidR="00B159B5" w:rsidRPr="00B159B5">
              <w:rPr>
                <w:rFonts w:asciiTheme="majorHAnsi" w:hAnsiTheme="majorHAnsi" w:cstheme="majorHAnsi"/>
                <w:bCs/>
              </w:rPr>
              <w:t>Public Health and Social Justice</w:t>
            </w:r>
          </w:p>
          <w:p w14:paraId="269B2441" w14:textId="2F83D0AD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RAD 33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Radiobiology</w:t>
            </w:r>
          </w:p>
          <w:p w14:paraId="45F1549B" w14:textId="10175B36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1A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Introduction to Phonetics, Articulation, and Phonology</w:t>
            </w:r>
          </w:p>
          <w:p w14:paraId="6244A8D3" w14:textId="0C70E211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2A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Introduction to Communicative Disorders</w:t>
            </w:r>
          </w:p>
          <w:p w14:paraId="3B27280B" w14:textId="1B6F5F82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3A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Speech, Language, and Hearing Development: Childhood through Adulthood</w:t>
            </w:r>
          </w:p>
          <w:p w14:paraId="7BAF1F07" w14:textId="0772CD72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4A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Speech Language Pathology Assistant Professional Issues</w:t>
            </w:r>
          </w:p>
          <w:p w14:paraId="77AA9752" w14:textId="54F7F251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5A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Child Language Disorders and Treatment</w:t>
            </w:r>
          </w:p>
          <w:p w14:paraId="6F786B74" w14:textId="452A7FDE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6A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Adult Neurogenic Communication Disorders</w:t>
            </w:r>
          </w:p>
          <w:p w14:paraId="383ACA4D" w14:textId="5E60706F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7A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Introduction to Autism Spectrum Disorders and Applied Behavioral Analysis</w:t>
            </w:r>
          </w:p>
          <w:p w14:paraId="4A962D22" w14:textId="21BF2111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8A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Screening and Therapeutic Processes</w:t>
            </w:r>
          </w:p>
          <w:p w14:paraId="4B43AD68" w14:textId="7AB84DBB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9A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Speech Language Pathology Assistant Clinical Experience 1</w:t>
            </w:r>
          </w:p>
          <w:p w14:paraId="578C6D24" w14:textId="196FE836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10A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Speech Language Pathology Assistant Clinical Experience 2</w:t>
            </w:r>
          </w:p>
          <w:p w14:paraId="093F3064" w14:textId="5FE4035E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SLPA 11A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Fundamentals of Augmentative and Alternative Communication</w:t>
            </w:r>
          </w:p>
          <w:p w14:paraId="6BB1DFC8" w14:textId="35C65FFE" w:rsidR="00EF3C97" w:rsidRDefault="00EF3C97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AGR35</w:t>
            </w:r>
            <w:r w:rsidR="000C2C14">
              <w:rPr>
                <w:rFonts w:asciiTheme="majorHAnsi" w:hAnsiTheme="majorHAnsi" w:cstheme="majorHAnsi"/>
                <w:bCs/>
              </w:rPr>
              <w:t xml:space="preserve"> - </w:t>
            </w:r>
            <w:r w:rsidR="000C2C14" w:rsidRPr="000C2C14">
              <w:rPr>
                <w:rFonts w:asciiTheme="majorHAnsi" w:hAnsiTheme="majorHAnsi" w:cstheme="majorHAnsi"/>
                <w:bCs/>
              </w:rPr>
              <w:t>Ornamental Plants for Southwest Climates</w:t>
            </w:r>
          </w:p>
          <w:p w14:paraId="2D8838B0" w14:textId="3BE56180" w:rsidR="00B159B5" w:rsidRPr="006D4C16" w:rsidRDefault="00B159B5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ENGR 1D- </w:t>
            </w:r>
            <w:r w:rsidRPr="00B159B5">
              <w:rPr>
                <w:rFonts w:asciiTheme="majorHAnsi" w:hAnsiTheme="majorHAnsi" w:cstheme="majorHAnsi"/>
                <w:bCs/>
              </w:rPr>
              <w:t>Engineering Design, Environment and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B159B5">
              <w:rPr>
                <w:rFonts w:asciiTheme="majorHAnsi" w:hAnsiTheme="majorHAnsi" w:cstheme="majorHAnsi"/>
                <w:bCs/>
              </w:rPr>
              <w:t>Society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0AFE4CE" w14:textId="77777777" w:rsidR="00B11446" w:rsidRDefault="00C30B46" w:rsidP="00462A7A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8FD3810" w14:textId="77777777" w:rsidR="00C30B46" w:rsidRDefault="00C30B46" w:rsidP="00C30B46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5D3BC1E9" w14:textId="572021CB" w:rsidR="00C30B46" w:rsidRPr="00C30B46" w:rsidRDefault="00C30B46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12BFEF77" w14:textId="77777777" w:rsidR="00C30B46" w:rsidRDefault="00C30B46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3C5E0BDD" w14:textId="77777777" w:rsidR="00C30B46" w:rsidRDefault="00C30B46" w:rsidP="00C30B46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76BD9D70" w14:textId="02CE761A" w:rsidR="00C30B46" w:rsidRPr="00C30B46" w:rsidRDefault="00C30B46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28A1C2DB" w14:textId="77777777" w:rsidR="00C30B46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5198BF83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618C2177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2ADDD98F" w14:textId="77777777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63513CCA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29BD6469" w14:textId="77777777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61C1E45D" w14:textId="77777777" w:rsid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9BD60A5" w14:textId="77777777" w:rsidR="005C2840" w:rsidRP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467ADE32" w14:textId="77777777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22586B9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1CC5B23D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6C5F088C" w14:textId="24B987DD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55425F3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549FF7A9" w14:textId="552EA4E1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57BEC1DD" w14:textId="77777777" w:rsidR="005C2840" w:rsidRP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14994A29" w14:textId="48A3F111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1A3EE61" w14:textId="77777777" w:rsid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D4B5BC6" w14:textId="77777777" w:rsidR="005C2840" w:rsidRP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1BC1B75B" w14:textId="5152A947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2343964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6A7F0923" w14:textId="1A18B93E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C81D69B" w14:textId="77777777" w:rsid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08FAE3AA" w14:textId="77777777" w:rsidR="005C2840" w:rsidRPr="005C2840" w:rsidRDefault="005C2840" w:rsidP="005C2840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7F626321" w14:textId="25ACB359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E598C66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1DB1EB2D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7687FAE6" w14:textId="52E34729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5C67F3D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01038D92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55807152" w14:textId="285922A5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5410D98" w14:textId="77777777" w:rsidR="005C2840" w:rsidRDefault="005C2840" w:rsidP="005C2840">
            <w:pPr>
              <w:pStyle w:val="ListParagraph"/>
              <w:ind w:left="880"/>
              <w:rPr>
                <w:rFonts w:ascii="Calibri" w:hAnsi="Calibri" w:cs="Calibri"/>
                <w:szCs w:val="20"/>
              </w:rPr>
            </w:pPr>
          </w:p>
          <w:p w14:paraId="64B06F39" w14:textId="70A7E905" w:rsidR="005C2840" w:rsidRDefault="005C2840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FC8AD28" w14:textId="6BAFFB08" w:rsidR="005C2840" w:rsidRPr="005C2840" w:rsidRDefault="005C2840" w:rsidP="005C2840">
            <w:pPr>
              <w:rPr>
                <w:rFonts w:ascii="Calibri" w:hAnsi="Calibri" w:cs="Calibri"/>
                <w:szCs w:val="20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462A7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7D0A8815" w14:textId="77777777" w:rsidR="00856095" w:rsidRDefault="00356F7D" w:rsidP="00462A7A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BC6C3D">
              <w:rPr>
                <w:rFonts w:asciiTheme="majorHAnsi" w:hAnsiTheme="majorHAnsi" w:cstheme="majorHAnsi"/>
                <w:bCs/>
              </w:rPr>
              <w:t>Biology AS-T</w:t>
            </w:r>
          </w:p>
          <w:p w14:paraId="39697480" w14:textId="42A5D8AC" w:rsidR="00EF3C97" w:rsidRDefault="00EF3C97" w:rsidP="00462A7A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California General Education Transfer Curriculum (Cal-GETC)</w:t>
            </w:r>
          </w:p>
          <w:p w14:paraId="1E9BD054" w14:textId="736F219F" w:rsidR="00EF3C97" w:rsidRPr="00BC6C3D" w:rsidRDefault="00EF3C97" w:rsidP="00462A7A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Speech Language Pathology Assistant AS</w:t>
            </w:r>
          </w:p>
          <w:p w14:paraId="528A935A" w14:textId="36177C4A" w:rsidR="00356F7D" w:rsidRPr="00856095" w:rsidRDefault="00356F7D" w:rsidP="00283D85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CCF286D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81CDA02" w14:textId="6632A8CA" w:rsidR="00C30B46" w:rsidRPr="00732EE9" w:rsidRDefault="00C30B46" w:rsidP="00732EE9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 w:rsidRPr="00732EE9">
              <w:rPr>
                <w:rFonts w:ascii="Calibri" w:hAnsi="Calibri" w:cs="Calibri"/>
                <w:szCs w:val="20"/>
              </w:rPr>
              <w:t>Approved</w:t>
            </w:r>
          </w:p>
          <w:p w14:paraId="20006664" w14:textId="77777777" w:rsidR="00C30B46" w:rsidRDefault="00732EE9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4023234F" w14:textId="20C12013" w:rsidR="00732EE9" w:rsidRPr="00C30B46" w:rsidRDefault="00732EE9" w:rsidP="00C30B46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462A7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462A7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62A7A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3B967B76" w14:textId="12F4A314" w:rsidR="008D3173" w:rsidRDefault="001C29AA" w:rsidP="00462A7A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Special Projects Courses - </w:t>
            </w:r>
            <w:r w:rsidR="008D3173">
              <w:rPr>
                <w:rFonts w:asciiTheme="majorHAnsi" w:hAnsiTheme="majorHAnsi" w:cstheme="majorHAnsi"/>
                <w:bCs/>
              </w:rPr>
              <w:t>BUSS 85</w:t>
            </w:r>
            <w:r>
              <w:rPr>
                <w:rFonts w:asciiTheme="majorHAnsi" w:hAnsiTheme="majorHAnsi" w:cstheme="majorHAnsi"/>
                <w:bCs/>
              </w:rPr>
              <w:t xml:space="preserve"> &amp; BUSM 85 – M. Rickard</w:t>
            </w:r>
          </w:p>
          <w:p w14:paraId="565E7135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15A1B7DE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376BDB81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443E88C1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651F6FAC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2159F39E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44CE4C7A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1E7B05F0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326ECDE3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46F2B976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6969F383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168590CD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2890CDB9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30FE8D2C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6C5179D3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0EA63E0A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09E44FAA" w14:textId="77777777" w:rsid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684AF78B" w14:textId="77777777" w:rsidR="008C2468" w:rsidRPr="008C2468" w:rsidRDefault="008C2468" w:rsidP="008C2468">
            <w:pPr>
              <w:rPr>
                <w:rFonts w:asciiTheme="majorHAnsi" w:hAnsiTheme="majorHAnsi" w:cstheme="majorHAnsi"/>
                <w:bCs/>
              </w:rPr>
            </w:pPr>
          </w:p>
          <w:p w14:paraId="305E9C11" w14:textId="44ACFDEE" w:rsidR="00F64A4A" w:rsidRDefault="00F64A4A" w:rsidP="00462A7A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41D5E05D" w14:textId="3CFF7CAC" w:rsidR="000C653A" w:rsidRDefault="000C653A" w:rsidP="00462A7A">
            <w:pPr>
              <w:pStyle w:val="ListParagraph"/>
              <w:numPr>
                <w:ilvl w:val="2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Philosophy Recommendation – T. Anders</w:t>
            </w:r>
          </w:p>
          <w:p w14:paraId="063D3A4D" w14:textId="0C34AEA3" w:rsidR="000C653A" w:rsidRDefault="000C653A" w:rsidP="00462A7A">
            <w:pPr>
              <w:pStyle w:val="ListParagraph"/>
              <w:numPr>
                <w:ilvl w:val="2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4020 – Program and Curriculum Development – J. Fowler</w:t>
            </w:r>
          </w:p>
          <w:p w14:paraId="57DD2397" w14:textId="24B9C813" w:rsidR="002C5588" w:rsidRDefault="006F237B" w:rsidP="00462A7A">
            <w:pPr>
              <w:pStyle w:val="ListParagraph"/>
              <w:numPr>
                <w:ilvl w:val="2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Local associate degree GE Report to Senate </w:t>
            </w:r>
            <w:r w:rsidR="00123110">
              <w:rPr>
                <w:rFonts w:asciiTheme="majorHAnsi" w:hAnsiTheme="majorHAnsi" w:cstheme="majorHAnsi"/>
                <w:bCs/>
              </w:rPr>
              <w:t>– M. Rickard</w:t>
            </w:r>
          </w:p>
          <w:p w14:paraId="183DDE16" w14:textId="68419359" w:rsidR="00F64A4A" w:rsidRDefault="00F64A4A" w:rsidP="00462A7A">
            <w:pPr>
              <w:pStyle w:val="ListParagraph"/>
              <w:numPr>
                <w:ilvl w:val="2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754CC5FA" w14:textId="61D0DCF7" w:rsidR="006F237B" w:rsidRPr="006F237B" w:rsidRDefault="006F237B" w:rsidP="00462A7A">
            <w:pPr>
              <w:pStyle w:val="ListParagraph"/>
              <w:numPr>
                <w:ilvl w:val="1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  <w:r w:rsidR="00BC6C3D">
              <w:rPr>
                <w:rFonts w:asciiTheme="majorHAnsi" w:hAnsiTheme="majorHAnsi" w:cstheme="majorHAnsi"/>
                <w:bCs/>
              </w:rPr>
              <w:t xml:space="preserve"> – M</w:t>
            </w:r>
            <w:r w:rsidR="000C653A">
              <w:rPr>
                <w:rFonts w:asciiTheme="majorHAnsi" w:hAnsiTheme="majorHAnsi" w:cstheme="majorHAnsi"/>
                <w:bCs/>
              </w:rPr>
              <w:t>.</w:t>
            </w:r>
            <w:r w:rsidR="00BC6C3D">
              <w:rPr>
                <w:rFonts w:asciiTheme="majorHAnsi" w:hAnsiTheme="majorHAnsi" w:cstheme="majorHAnsi"/>
                <w:bCs/>
              </w:rPr>
              <w:t xml:space="preserve"> Rickard</w:t>
            </w:r>
          </w:p>
          <w:p w14:paraId="6707D178" w14:textId="29BBB4BF" w:rsidR="00393B3B" w:rsidRPr="000E755C" w:rsidRDefault="00393B3B" w:rsidP="000E755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61CC6120" w14:textId="77777777" w:rsidR="00850E5F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D6435B6" w14:textId="04C2892F" w:rsidR="008D3173" w:rsidRDefault="008D3173" w:rsidP="008C246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BUSS 85 was submitted for review to EDC. It was put on hold in EDC because it looks like a special projects course, but </w:t>
            </w:r>
            <w:r w:rsidR="001C29AA">
              <w:rPr>
                <w:rFonts w:ascii="Calibri" w:hAnsi="Calibri" w:cs="Calibri"/>
                <w:szCs w:val="20"/>
              </w:rPr>
              <w:t>the faculty are classifying it as a capstone course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  <w:r w:rsidRPr="008D3173">
              <w:rPr>
                <w:rFonts w:ascii="Calibri" w:hAnsi="Calibri" w:cs="Calibri"/>
                <w:szCs w:val="20"/>
              </w:rPr>
              <w:t xml:space="preserve">The course was sent back to the author, and they were asked to renumber the course to align with other special projects courses. </w:t>
            </w:r>
            <w:r w:rsidR="0080577B">
              <w:rPr>
                <w:rFonts w:ascii="Calibri" w:hAnsi="Calibri" w:cs="Calibri"/>
                <w:szCs w:val="20"/>
              </w:rPr>
              <w:t xml:space="preserve">The class size changed to 5 in 2013, and the documentation provided compared the course to special projects courses. </w:t>
            </w:r>
            <w:r>
              <w:rPr>
                <w:rFonts w:ascii="Calibri" w:hAnsi="Calibri" w:cs="Calibri"/>
                <w:szCs w:val="20"/>
              </w:rPr>
              <w:t xml:space="preserve">The department declined converting the course to a special projects course and declined increasing the class size. </w:t>
            </w:r>
            <w:r w:rsidR="0080577B">
              <w:rPr>
                <w:rFonts w:ascii="Calibri" w:hAnsi="Calibri" w:cs="Calibri"/>
                <w:szCs w:val="20"/>
              </w:rPr>
              <w:t xml:space="preserve">The council discussed the importance of clearly identifying independent study courses with the number 99. The catalog description and content </w:t>
            </w:r>
            <w:r w:rsidR="001C29AA">
              <w:rPr>
                <w:rFonts w:ascii="Calibri" w:hAnsi="Calibri" w:cs="Calibri"/>
                <w:szCs w:val="20"/>
              </w:rPr>
              <w:t xml:space="preserve">read as an independent studies course. </w:t>
            </w:r>
            <w:r w:rsidR="0080577B">
              <w:rPr>
                <w:rFonts w:ascii="Calibri" w:hAnsi="Calibri" w:cs="Calibri"/>
                <w:szCs w:val="20"/>
              </w:rPr>
              <w:t xml:space="preserve"> </w:t>
            </w:r>
            <w:r w:rsidR="001C29AA">
              <w:rPr>
                <w:rFonts w:ascii="Calibri" w:hAnsi="Calibri" w:cs="Calibri"/>
                <w:szCs w:val="20"/>
              </w:rPr>
              <w:t xml:space="preserve">The council recommends that Malcolm communicate to the author that </w:t>
            </w:r>
            <w:r w:rsidR="00213511">
              <w:rPr>
                <w:rFonts w:ascii="Calibri" w:hAnsi="Calibri" w:cs="Calibri"/>
                <w:szCs w:val="20"/>
              </w:rPr>
              <w:t>the courses were</w:t>
            </w:r>
            <w:r w:rsidR="009E081F">
              <w:rPr>
                <w:rFonts w:ascii="Calibri" w:hAnsi="Calibri" w:cs="Calibri"/>
                <w:szCs w:val="20"/>
              </w:rPr>
              <w:t xml:space="preserve"> erroneously</w:t>
            </w:r>
            <w:r w:rsidR="00213511">
              <w:rPr>
                <w:rFonts w:ascii="Calibri" w:hAnsi="Calibri" w:cs="Calibri"/>
                <w:szCs w:val="20"/>
              </w:rPr>
              <w:t xml:space="preserve"> being coded as lecture under the methods of instruction on the course outline, not independent studies courses. The error needs to be cor</w:t>
            </w:r>
            <w:r w:rsidR="001C29AA">
              <w:rPr>
                <w:rFonts w:ascii="Calibri" w:hAnsi="Calibri" w:cs="Calibri"/>
                <w:szCs w:val="20"/>
              </w:rPr>
              <w:t>rected for BUSM 85 and BUSS 85.</w:t>
            </w:r>
          </w:p>
          <w:p w14:paraId="2884030B" w14:textId="77777777" w:rsidR="00E35AD6" w:rsidRDefault="00E35AD6" w:rsidP="008C246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Hold for next meeting</w:t>
            </w:r>
          </w:p>
          <w:p w14:paraId="18008CAC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4CABF222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4C896870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7CACCDEF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26CFA988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407FB351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1E2F7864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5875EB78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64DA6BC4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04C81F1E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202865C5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3036BF37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56FD0177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5960D6E6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57CE168D" w14:textId="77777777" w:rsid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02D92AF0" w14:textId="77777777" w:rsidR="008C2468" w:rsidRPr="008C2468" w:rsidRDefault="008C2468" w:rsidP="008C2468">
            <w:pPr>
              <w:rPr>
                <w:rFonts w:ascii="Calibri" w:hAnsi="Calibri" w:cs="Calibri"/>
                <w:szCs w:val="20"/>
              </w:rPr>
            </w:pPr>
          </w:p>
          <w:p w14:paraId="31FBE81F" w14:textId="2DF94CC1" w:rsidR="00E35AD6" w:rsidRPr="008D3173" w:rsidRDefault="00E35AD6" w:rsidP="008C246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Hold for next meeting</w:t>
            </w: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8C2468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05C5D86" w14:textId="77777777" w:rsidR="0011289D" w:rsidRDefault="00D419A8" w:rsidP="008C2468">
            <w:pPr>
              <w:pStyle w:val="ListParagraph"/>
              <w:numPr>
                <w:ilvl w:val="1"/>
                <w:numId w:val="1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27CCC94" w14:textId="77777777" w:rsidR="00E469E5" w:rsidRDefault="00E469E5" w:rsidP="008C2468">
            <w:pPr>
              <w:pStyle w:val="ListParagraph"/>
              <w:numPr>
                <w:ilvl w:val="1"/>
                <w:numId w:val="1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15F70E5F" w14:textId="77777777" w:rsidR="000E755C" w:rsidRPr="00393B3B" w:rsidRDefault="000E755C" w:rsidP="008C2468">
            <w:pPr>
              <w:pStyle w:val="ListParagraph"/>
              <w:numPr>
                <w:ilvl w:val="1"/>
                <w:numId w:val="19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2D119111" w14:textId="41EF1A25" w:rsidR="000E755C" w:rsidRPr="00123110" w:rsidRDefault="009E081F" w:rsidP="000E755C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hyperlink r:id="rId12" w:history="1">
              <w:r w:rsidR="000E755C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5B373807" w14:textId="43F5CCCE" w:rsidR="00E469E5" w:rsidRPr="006F237B" w:rsidRDefault="00E469E5" w:rsidP="00E469E5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C32"/>
    <w:multiLevelType w:val="hybridMultilevel"/>
    <w:tmpl w:val="D4CC0E2C"/>
    <w:lvl w:ilvl="0" w:tplc="04090019">
      <w:start w:val="1"/>
      <w:numFmt w:val="lowerLetter"/>
      <w:lvlText w:val="%1."/>
      <w:lvlJc w:val="left"/>
      <w:pPr>
        <w:ind w:left="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7289F"/>
    <w:multiLevelType w:val="hybridMultilevel"/>
    <w:tmpl w:val="F5B01DCA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FDB78C1"/>
    <w:multiLevelType w:val="hybridMultilevel"/>
    <w:tmpl w:val="00C86F84"/>
    <w:lvl w:ilvl="0" w:tplc="0409000F">
      <w:start w:val="1"/>
      <w:numFmt w:val="decimal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2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3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65787D94"/>
    <w:multiLevelType w:val="hybridMultilevel"/>
    <w:tmpl w:val="D4CC0E2C"/>
    <w:lvl w:ilvl="0" w:tplc="FFFFFFFF">
      <w:start w:val="1"/>
      <w:numFmt w:val="lowerLetter"/>
      <w:lvlText w:val="%1."/>
      <w:lvlJc w:val="left"/>
      <w:pPr>
        <w:ind w:left="8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11"/>
  </w:num>
  <w:num w:numId="2" w16cid:durableId="1722169201">
    <w:abstractNumId w:val="10"/>
  </w:num>
  <w:num w:numId="3" w16cid:durableId="2034457699">
    <w:abstractNumId w:val="6"/>
  </w:num>
  <w:num w:numId="4" w16cid:durableId="956372736">
    <w:abstractNumId w:val="9"/>
  </w:num>
  <w:num w:numId="5" w16cid:durableId="540290725">
    <w:abstractNumId w:val="4"/>
  </w:num>
  <w:num w:numId="6" w16cid:durableId="1228153893">
    <w:abstractNumId w:val="7"/>
  </w:num>
  <w:num w:numId="7" w16cid:durableId="1933276268">
    <w:abstractNumId w:val="18"/>
  </w:num>
  <w:num w:numId="8" w16cid:durableId="1099527464">
    <w:abstractNumId w:val="8"/>
  </w:num>
  <w:num w:numId="9" w16cid:durableId="939484633">
    <w:abstractNumId w:val="15"/>
  </w:num>
  <w:num w:numId="10" w16cid:durableId="510989293">
    <w:abstractNumId w:val="3"/>
  </w:num>
  <w:num w:numId="11" w16cid:durableId="1497726457">
    <w:abstractNumId w:val="17"/>
  </w:num>
  <w:num w:numId="12" w16cid:durableId="670915074">
    <w:abstractNumId w:val="5"/>
  </w:num>
  <w:num w:numId="13" w16cid:durableId="721489042">
    <w:abstractNumId w:val="12"/>
  </w:num>
  <w:num w:numId="14" w16cid:durableId="1814636634">
    <w:abstractNumId w:val="14"/>
  </w:num>
  <w:num w:numId="15" w16cid:durableId="489905392">
    <w:abstractNumId w:val="13"/>
  </w:num>
  <w:num w:numId="16" w16cid:durableId="705716005">
    <w:abstractNumId w:val="2"/>
  </w:num>
  <w:num w:numId="17" w16cid:durableId="1078484437">
    <w:abstractNumId w:val="1"/>
  </w:num>
  <w:num w:numId="18" w16cid:durableId="1983928735">
    <w:abstractNumId w:val="0"/>
  </w:num>
  <w:num w:numId="19" w16cid:durableId="164963324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25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4668"/>
    <w:rsid w:val="000266A0"/>
    <w:rsid w:val="000315FA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2C14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3EB0"/>
    <w:rsid w:val="001A4F70"/>
    <w:rsid w:val="001A5F47"/>
    <w:rsid w:val="001B17D1"/>
    <w:rsid w:val="001B6B4A"/>
    <w:rsid w:val="001C0AC3"/>
    <w:rsid w:val="001C2513"/>
    <w:rsid w:val="001C29AA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511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022"/>
    <w:rsid w:val="002A087B"/>
    <w:rsid w:val="002A2BA0"/>
    <w:rsid w:val="002B1586"/>
    <w:rsid w:val="002B1D05"/>
    <w:rsid w:val="002B4CC3"/>
    <w:rsid w:val="002B5D09"/>
    <w:rsid w:val="002C10B7"/>
    <w:rsid w:val="002C3DCD"/>
    <w:rsid w:val="002C4C27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9422C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2A7A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2583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05FD"/>
    <w:rsid w:val="005C284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2EE9"/>
    <w:rsid w:val="00735034"/>
    <w:rsid w:val="00735D6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577B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468"/>
    <w:rsid w:val="008C27F7"/>
    <w:rsid w:val="008C2AD3"/>
    <w:rsid w:val="008D0A04"/>
    <w:rsid w:val="008D3173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081F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59B5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694C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0B46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51256"/>
    <w:rsid w:val="00C549BB"/>
    <w:rsid w:val="00C63218"/>
    <w:rsid w:val="00C677AD"/>
    <w:rsid w:val="00C67B26"/>
    <w:rsid w:val="00C73B66"/>
    <w:rsid w:val="00C752D6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00"/>
    <w:rsid w:val="00DB6B8E"/>
    <w:rsid w:val="00DB72ED"/>
    <w:rsid w:val="00DC3131"/>
    <w:rsid w:val="00DC7A24"/>
    <w:rsid w:val="00DD03AD"/>
    <w:rsid w:val="00DD1F26"/>
    <w:rsid w:val="00DD4018"/>
    <w:rsid w:val="00DD5219"/>
    <w:rsid w:val="00DD6F1C"/>
    <w:rsid w:val="00DE0863"/>
    <w:rsid w:val="00DE0A03"/>
    <w:rsid w:val="00DE25AE"/>
    <w:rsid w:val="00DE2A29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AD6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EF3C97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D59A1"/>
    <w:rsid w:val="00FE0091"/>
    <w:rsid w:val="00FE20F6"/>
    <w:rsid w:val="00FE588B"/>
    <w:rsid w:val="00FE7961"/>
    <w:rsid w:val="00FF5089"/>
    <w:rsid w:val="00FF5DEB"/>
    <w:rsid w:val="00FF6616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eddesign/docu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13</cp:revision>
  <cp:lastPrinted>2023-10-19T18:04:00Z</cp:lastPrinted>
  <dcterms:created xsi:type="dcterms:W3CDTF">2025-03-06T20:26:00Z</dcterms:created>
  <dcterms:modified xsi:type="dcterms:W3CDTF">2025-03-13T23:17:00Z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