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0A3878B0" w:rsidR="00F417CA" w:rsidRPr="00692D67" w:rsidRDefault="007D707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September 13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3C1568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46611EC" w:rsidR="00FB0803" w:rsidRPr="00781A90" w:rsidRDefault="003C730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256EABFB" w:rsidR="00FB0803" w:rsidRPr="00781A90" w:rsidRDefault="00B6795A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="00776A20"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61A1ED6D" w:rsidR="00FB0803" w:rsidRPr="00781A90" w:rsidRDefault="002D4CE7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D07673E" w:rsidR="00776A20" w:rsidRPr="00781A90" w:rsidRDefault="002D4CE7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15247323" w:rsidR="005946FC" w:rsidRPr="00781A90" w:rsidRDefault="003C730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1C1E5C98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53D2FF92" w14:textId="565CDF0C" w:rsidR="002D4CE7" w:rsidRPr="002D4CE7" w:rsidRDefault="00C23CE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D4CE7" w:rsidRPr="002D4CE7">
        <w:rPr>
          <w:rFonts w:asciiTheme="majorHAnsi" w:hAnsiTheme="majorHAnsi" w:cstheme="minorHAnsi"/>
          <w:sz w:val="16"/>
          <w:szCs w:val="16"/>
          <w:u w:val="none"/>
        </w:rPr>
        <w:t>Hong Guo</w:t>
      </w:r>
      <w:r w:rsidR="002D4CE7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953777">
        <w:rPr>
          <w:rFonts w:asciiTheme="majorHAnsi" w:hAnsiTheme="majorHAnsi" w:cstheme="minorHAnsi"/>
          <w:sz w:val="16"/>
          <w:szCs w:val="16"/>
          <w:u w:val="none"/>
        </w:rPr>
        <w:t>Library</w:t>
      </w:r>
    </w:p>
    <w:p w14:paraId="07C23493" w14:textId="7330D745" w:rsidR="008E0057" w:rsidRDefault="002D4CE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551E7547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40F5FF2F" w:rsidR="005946FC" w:rsidRPr="00781A90" w:rsidRDefault="002D4CE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84B92C7" w:rsidR="005946FC" w:rsidRPr="00781A90" w:rsidRDefault="002D4CE7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D0843F" w:rsidR="00781A90" w:rsidRPr="00781A90" w:rsidRDefault="0095377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1F7A1586" w14:textId="02809B87" w:rsidR="00953777" w:rsidRPr="00953777" w:rsidRDefault="003C730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3DFDB8FE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F62411"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27D4FACE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612A18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bookmarkStart w:id="0" w:name="_GoBack"/>
      <w:bookmarkEnd w:id="0"/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5BAA903C" w14:textId="7C496734" w:rsidR="00C416C7" w:rsidRDefault="005946FC" w:rsidP="00FB0803">
      <w:pPr>
        <w:rPr>
          <w:rFonts w:asciiTheme="majorHAnsi" w:hAnsiTheme="majorHAnsi" w:cstheme="minorHAnsi"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  <w:r w:rsidR="002D4CE7">
        <w:rPr>
          <w:rFonts w:asciiTheme="majorHAnsi" w:hAnsiTheme="majorHAnsi" w:cstheme="minorHAnsi"/>
          <w:b/>
          <w:sz w:val="16"/>
          <w:szCs w:val="16"/>
          <w:u w:val="none"/>
        </w:rPr>
        <w:t xml:space="preserve"> </w:t>
      </w: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1" w:name="Title_Meeting_Agenda"/>
            <w:bookmarkEnd w:id="1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3C537E5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745BDEA0" w:rsidR="00E34596" w:rsidRPr="0020591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1DE4B319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69B78D7D" w14:textId="79E86D0B" w:rsidR="002D4CE7" w:rsidRDefault="00B6795A" w:rsidP="00B6795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10, 2022</w:t>
            </w:r>
          </w:p>
          <w:p w14:paraId="64AC35D5" w14:textId="66B92192" w:rsidR="00B6795A" w:rsidRPr="00B6795A" w:rsidRDefault="00B6795A" w:rsidP="00B6795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443D2850" w14:textId="2DA9CD97" w:rsidR="000D5741" w:rsidRDefault="007D7074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30, 2022</w:t>
            </w:r>
          </w:p>
          <w:p w14:paraId="6640F86A" w14:textId="10021E87" w:rsidR="007D7074" w:rsidRPr="000D5741" w:rsidRDefault="007D7074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693DFC10" w:rsidR="004D1FCB" w:rsidRDefault="007D7074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17, 2022</w:t>
            </w:r>
          </w:p>
          <w:p w14:paraId="6BB46638" w14:textId="32D056C4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28F9F799" w14:textId="77F9F498" w:rsidR="00DC7A24" w:rsidRPr="007D7074" w:rsidRDefault="00D319FB" w:rsidP="007D70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</w:tc>
        <w:tc>
          <w:tcPr>
            <w:tcW w:w="5130" w:type="dxa"/>
          </w:tcPr>
          <w:p w14:paraId="2181B74B" w14:textId="77777777" w:rsidR="00997601" w:rsidRDefault="00B6795A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DL Minutes for May 10, 2022 and May 24, 2022.  Motion accepted.</w:t>
            </w:r>
          </w:p>
          <w:p w14:paraId="1561173F" w14:textId="77777777" w:rsidR="00B6795A" w:rsidRDefault="00B6795A" w:rsidP="00B679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Distance Learning Committee Minutes</w:t>
            </w:r>
          </w:p>
          <w:p w14:paraId="77EF48D2" w14:textId="77777777" w:rsidR="00B6795A" w:rsidRDefault="00B6795A" w:rsidP="00B6795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485B248A" w14:textId="77777777" w:rsidR="00B6795A" w:rsidRDefault="00B6795A" w:rsidP="00B6795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52E53E39" w14:textId="77777777" w:rsidR="00B6795A" w:rsidRDefault="00B6795A" w:rsidP="00B679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Educational Design Committee Minutes</w:t>
            </w:r>
          </w:p>
          <w:p w14:paraId="67FD665F" w14:textId="77777777" w:rsidR="00B6795A" w:rsidRDefault="00B6795A" w:rsidP="00B6795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08DC10CB" w14:textId="77777777" w:rsidR="00B6795A" w:rsidRDefault="00B6795A" w:rsidP="00B6795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75EA7A7D" w14:textId="77777777" w:rsidR="00B6795A" w:rsidRDefault="00B6795A" w:rsidP="00B6795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Outcomes Committee Minutes</w:t>
            </w:r>
          </w:p>
          <w:p w14:paraId="458C6EB1" w14:textId="7EA41580" w:rsidR="00B6795A" w:rsidRPr="00B6795A" w:rsidRDefault="00B6795A" w:rsidP="00B6795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r w:rsidR="00AF22A1">
              <w:rPr>
                <w:rFonts w:ascii="Calibri" w:hAnsi="Calibri" w:cs="Calibri"/>
                <w:szCs w:val="20"/>
              </w:rPr>
              <w:t>. One abstention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21C8D4A" w14:textId="19F043D8" w:rsidR="007D7074" w:rsidRDefault="00D319FB" w:rsidP="007D70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31676905" w14:textId="21169022" w:rsidR="007D7074" w:rsidRPr="007D7074" w:rsidRDefault="007D7074" w:rsidP="007D707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Administration 2.0 AS</w:t>
            </w:r>
            <w:r w:rsidR="00A11DB3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T</w:t>
            </w:r>
          </w:p>
          <w:p w14:paraId="2D8838B0" w14:textId="38CE41E4" w:rsidR="00D37DA5" w:rsidRPr="00230A9F" w:rsidRDefault="00D37DA5" w:rsidP="00230A9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FC8AD28" w14:textId="1396FE9D" w:rsidR="005946FC" w:rsidRPr="00A11DB3" w:rsidRDefault="00A11DB3" w:rsidP="00A11DB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 on Consent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5CE3C225" w:rsidR="00383648" w:rsidRPr="00230A9F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166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50144C2C" w14:textId="3E817DF6" w:rsidR="009D3A8F" w:rsidRPr="009D3A8F" w:rsidRDefault="00612A18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2DFCFF0D" w14:textId="395A163F" w:rsidR="00D9003A" w:rsidRPr="007D7074" w:rsidRDefault="007D7074" w:rsidP="00D9003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MATH 71</w:t>
            </w:r>
            <w:r w:rsidR="009D3A8F">
              <w:rPr>
                <w:rFonts w:asciiTheme="majorHAnsi" w:hAnsiTheme="majorHAnsi" w:cstheme="majorHAnsi"/>
              </w:rPr>
              <w:t xml:space="preserve"> Intermediate Algebra -</w:t>
            </w:r>
            <w:r>
              <w:rPr>
                <w:rFonts w:asciiTheme="majorHAnsi" w:hAnsiTheme="majorHAnsi" w:cstheme="majorHAnsi"/>
              </w:rPr>
              <w:t xml:space="preserve"> Listed in Courses and Programs – J. Fowler</w:t>
            </w:r>
          </w:p>
          <w:p w14:paraId="6707D178" w14:textId="488CB5BE" w:rsidR="00FE7961" w:rsidRPr="00D9003A" w:rsidRDefault="00FE7961" w:rsidP="00FE796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Catalog Production Timeline – J. Fowler &amp; M. Chen</w:t>
            </w:r>
          </w:p>
        </w:tc>
        <w:tc>
          <w:tcPr>
            <w:tcW w:w="5130" w:type="dxa"/>
          </w:tcPr>
          <w:p w14:paraId="1227F50F" w14:textId="77777777" w:rsidR="006D5DD3" w:rsidRDefault="006D5DD3" w:rsidP="001618B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8A13F03" w14:textId="24E9E27C" w:rsidR="001618B3" w:rsidRDefault="006D5DD3" w:rsidP="001618B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1 </w:t>
            </w:r>
            <w:r w:rsidR="00DC2253">
              <w:rPr>
                <w:rFonts w:ascii="Calibri" w:hAnsi="Calibri" w:cs="Calibri"/>
                <w:szCs w:val="20"/>
                <w:u w:val="none"/>
              </w:rPr>
              <w:t xml:space="preserve">AP 4020 </w:t>
            </w:r>
            <w:r w:rsidR="0093388B">
              <w:rPr>
                <w:rFonts w:ascii="Calibri" w:hAnsi="Calibri" w:cs="Calibri"/>
                <w:szCs w:val="20"/>
                <w:u w:val="none"/>
              </w:rPr>
              <w:t xml:space="preserve">Program and Curriculum Development: </w:t>
            </w:r>
            <w:r w:rsidR="001618B3">
              <w:rPr>
                <w:rFonts w:ascii="Calibri" w:hAnsi="Calibri" w:cs="Calibri"/>
                <w:szCs w:val="20"/>
                <w:u w:val="none"/>
              </w:rPr>
              <w:t>Program development includes maintenance of curriculum.</w:t>
            </w:r>
          </w:p>
          <w:p w14:paraId="348575EC" w14:textId="39A8C23E" w:rsidR="00100390" w:rsidRDefault="00DC2253" w:rsidP="009338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List of courses not offered in two years will get out soon. </w:t>
            </w:r>
            <w:r w:rsidR="0093388B">
              <w:rPr>
                <w:rFonts w:ascii="Calibri" w:hAnsi="Calibri" w:cs="Calibri"/>
                <w:szCs w:val="20"/>
                <w:u w:val="none"/>
              </w:rPr>
              <w:t xml:space="preserve">AP 4020 should provide </w:t>
            </w:r>
            <w:r w:rsidR="00100390">
              <w:rPr>
                <w:rFonts w:ascii="Calibri" w:hAnsi="Calibri" w:cs="Calibri"/>
                <w:szCs w:val="20"/>
                <w:u w:val="none"/>
              </w:rPr>
              <w:t>knowledge to the O</w:t>
            </w:r>
            <w:r w:rsidR="0093388B">
              <w:rPr>
                <w:rFonts w:ascii="Calibri" w:hAnsi="Calibri" w:cs="Calibri"/>
                <w:szCs w:val="20"/>
                <w:u w:val="none"/>
              </w:rPr>
              <w:t xml:space="preserve">ffice of </w:t>
            </w:r>
            <w:r w:rsidR="00100390">
              <w:rPr>
                <w:rFonts w:ascii="Calibri" w:hAnsi="Calibri" w:cs="Calibri"/>
                <w:szCs w:val="20"/>
                <w:u w:val="none"/>
              </w:rPr>
              <w:t>I</w:t>
            </w:r>
            <w:r w:rsidR="0093388B">
              <w:rPr>
                <w:rFonts w:ascii="Calibri" w:hAnsi="Calibri" w:cs="Calibri"/>
                <w:szCs w:val="20"/>
                <w:u w:val="none"/>
              </w:rPr>
              <w:t>nstruction</w:t>
            </w:r>
            <w:r w:rsidR="00100390">
              <w:rPr>
                <w:rFonts w:ascii="Calibri" w:hAnsi="Calibri" w:cs="Calibri"/>
                <w:szCs w:val="20"/>
                <w:u w:val="none"/>
              </w:rPr>
              <w:t xml:space="preserve"> of how to proceed with the list. </w:t>
            </w:r>
          </w:p>
          <w:p w14:paraId="0E9E056C" w14:textId="3162E228" w:rsidR="00100390" w:rsidRDefault="00237F43" w:rsidP="00DC225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In past C&amp;I discussions on</w:t>
            </w:r>
            <w:r w:rsidR="0093388B">
              <w:rPr>
                <w:rFonts w:ascii="Calibri" w:hAnsi="Calibri" w:cs="Calibri"/>
                <w:szCs w:val="20"/>
                <w:u w:val="none"/>
              </w:rPr>
              <w:t xml:space="preserve"> courses because</w:t>
            </w:r>
            <w:r w:rsidR="001618B3">
              <w:rPr>
                <w:rFonts w:ascii="Calibri" w:hAnsi="Calibri" w:cs="Calibri"/>
                <w:szCs w:val="20"/>
                <w:u w:val="none"/>
              </w:rPr>
              <w:t xml:space="preserve"> students could not</w:t>
            </w:r>
            <w:r w:rsidR="00CB3200">
              <w:rPr>
                <w:rFonts w:ascii="Calibri" w:hAnsi="Calibri" w:cs="Calibri"/>
                <w:szCs w:val="20"/>
                <w:u w:val="none"/>
              </w:rPr>
              <w:t xml:space="preserve"> complete a program </w:t>
            </w:r>
            <w:r>
              <w:rPr>
                <w:rFonts w:ascii="Calibri" w:hAnsi="Calibri" w:cs="Calibri"/>
                <w:szCs w:val="20"/>
                <w:u w:val="none"/>
              </w:rPr>
              <w:t>if</w:t>
            </w:r>
            <w:r w:rsidR="00100390">
              <w:rPr>
                <w:rFonts w:ascii="Calibri" w:hAnsi="Calibri" w:cs="Calibri"/>
                <w:szCs w:val="20"/>
                <w:u w:val="none"/>
              </w:rPr>
              <w:t xml:space="preserve"> courses</w:t>
            </w:r>
            <w:r w:rsidR="001618B3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are </w:t>
            </w:r>
            <w:r w:rsidR="001618B3">
              <w:rPr>
                <w:rFonts w:ascii="Calibri" w:hAnsi="Calibri" w:cs="Calibri"/>
                <w:szCs w:val="20"/>
                <w:u w:val="none"/>
              </w:rPr>
              <w:t>not offered</w:t>
            </w:r>
            <w:r w:rsidR="00100390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1EC8E856" w14:textId="77777777" w:rsidR="001618B3" w:rsidRDefault="001618B3" w:rsidP="00DC225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5F5115A" w14:textId="415237AD" w:rsidR="00642100" w:rsidRDefault="001618B3" w:rsidP="00DC225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AP 4020 </w:t>
            </w:r>
            <w:r w:rsidR="00A1242C">
              <w:rPr>
                <w:rFonts w:ascii="Calibri" w:hAnsi="Calibri" w:cs="Calibri"/>
                <w:szCs w:val="20"/>
                <w:u w:val="none"/>
              </w:rPr>
              <w:t>was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last</w:t>
            </w:r>
            <w:r w:rsidR="00642100">
              <w:rPr>
                <w:rFonts w:ascii="Calibri" w:hAnsi="Calibri" w:cs="Calibri"/>
                <w:szCs w:val="20"/>
                <w:u w:val="none"/>
              </w:rPr>
              <w:t xml:space="preserve"> reviewed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on </w:t>
            </w:r>
            <w:r w:rsidR="00642100">
              <w:rPr>
                <w:rFonts w:ascii="Calibri" w:hAnsi="Calibri" w:cs="Calibri"/>
                <w:szCs w:val="20"/>
                <w:u w:val="none"/>
              </w:rPr>
              <w:t>9/2016.  There are things in there that already do not match with</w:t>
            </w:r>
            <w:r w:rsidR="00A1242C">
              <w:rPr>
                <w:rFonts w:ascii="Calibri" w:hAnsi="Calibri" w:cs="Calibri"/>
                <w:szCs w:val="20"/>
                <w:u w:val="none"/>
              </w:rPr>
              <w:t xml:space="preserve"> the way we do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curriculum processes and since </w:t>
            </w:r>
            <w:r w:rsidR="00CB3200">
              <w:rPr>
                <w:rFonts w:ascii="Calibri" w:hAnsi="Calibri" w:cs="Calibri"/>
                <w:szCs w:val="20"/>
                <w:u w:val="none"/>
              </w:rPr>
              <w:t>i</w:t>
            </w:r>
            <w:r w:rsidR="00A1242C">
              <w:rPr>
                <w:rFonts w:ascii="Calibri" w:hAnsi="Calibri" w:cs="Calibri"/>
                <w:szCs w:val="20"/>
                <w:u w:val="none"/>
              </w:rPr>
              <w:t>t</w:t>
            </w:r>
            <w:r w:rsidR="00642100">
              <w:rPr>
                <w:rFonts w:ascii="Calibri" w:hAnsi="Calibri" w:cs="Calibri"/>
                <w:szCs w:val="20"/>
                <w:u w:val="none"/>
              </w:rPr>
              <w:t xml:space="preserve"> is not up to date, it needs to be revised.</w:t>
            </w:r>
          </w:p>
          <w:p w14:paraId="538EC710" w14:textId="2B682A8B" w:rsidR="00642100" w:rsidRDefault="00642100" w:rsidP="00DC225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More gu</w:t>
            </w:r>
            <w:r w:rsidR="001618B3">
              <w:rPr>
                <w:rFonts w:ascii="Calibri" w:hAnsi="Calibri" w:cs="Calibri"/>
                <w:szCs w:val="20"/>
                <w:u w:val="none"/>
              </w:rPr>
              <w:t>idance regarding outcomes need to be included in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AP </w:t>
            </w:r>
            <w:r w:rsidR="001618B3">
              <w:rPr>
                <w:rFonts w:ascii="Calibri" w:hAnsi="Calibri" w:cs="Calibri"/>
                <w:szCs w:val="20"/>
                <w:u w:val="none"/>
              </w:rPr>
              <w:t xml:space="preserve">4020, </w:t>
            </w:r>
            <w:r>
              <w:rPr>
                <w:rFonts w:ascii="Calibri" w:hAnsi="Calibri" w:cs="Calibri"/>
                <w:szCs w:val="20"/>
                <w:u w:val="none"/>
              </w:rPr>
              <w:t>or an AP that addresses outcomes should be created.</w:t>
            </w:r>
            <w:r w:rsidR="000D73E0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0D73E0" w:rsidRPr="00973BDD">
              <w:rPr>
                <w:rFonts w:ascii="Calibri" w:hAnsi="Calibri" w:cs="Calibri"/>
                <w:b/>
                <w:szCs w:val="20"/>
                <w:u w:val="none"/>
              </w:rPr>
              <w:t>Discussion will continue next meeting.</w:t>
            </w:r>
          </w:p>
          <w:p w14:paraId="4C665A2E" w14:textId="0F694F05" w:rsidR="0074480A" w:rsidRDefault="0074480A" w:rsidP="00DC225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69766D4" w14:textId="1CCCADAF" w:rsidR="00642100" w:rsidRPr="006D5DD3" w:rsidRDefault="006D5DD3" w:rsidP="006D5DD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2.  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MATH 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71 is no longer bei</w:t>
            </w:r>
            <w:r>
              <w:rPr>
                <w:rFonts w:ascii="Calibri" w:hAnsi="Calibri" w:cs="Calibri"/>
                <w:szCs w:val="20"/>
                <w:u w:val="none"/>
              </w:rPr>
              <w:t>ng offer</w:t>
            </w:r>
            <w:r w:rsidR="004234F4">
              <w:rPr>
                <w:rFonts w:ascii="Calibri" w:hAnsi="Calibri" w:cs="Calibri"/>
                <w:szCs w:val="20"/>
                <w:u w:val="none"/>
              </w:rPr>
              <w:t>ed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but it is in the books and it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is still </w:t>
            </w:r>
            <w:r w:rsidR="00F67647">
              <w:rPr>
                <w:rFonts w:ascii="Calibri" w:hAnsi="Calibri" w:cs="Calibri"/>
                <w:szCs w:val="20"/>
                <w:u w:val="none"/>
              </w:rPr>
              <w:t>the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requiremen</w:t>
            </w:r>
            <w:r w:rsidR="00F67647">
              <w:rPr>
                <w:rFonts w:ascii="Calibri" w:hAnsi="Calibri" w:cs="Calibri"/>
                <w:szCs w:val="20"/>
                <w:u w:val="none"/>
              </w:rPr>
              <w:t>t for graduation to obtain an Associates Degree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. </w:t>
            </w:r>
            <w:r w:rsidR="00F67647">
              <w:rPr>
                <w:rFonts w:ascii="Calibri" w:hAnsi="Calibri" w:cs="Calibri"/>
                <w:szCs w:val="20"/>
                <w:u w:val="none"/>
              </w:rPr>
              <w:t>MATH 71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is not </w:t>
            </w:r>
            <w:r w:rsidR="00F67647">
              <w:rPr>
                <w:rFonts w:ascii="Calibri" w:hAnsi="Calibri" w:cs="Calibri"/>
                <w:szCs w:val="20"/>
                <w:u w:val="none"/>
              </w:rPr>
              <w:t>offered at this time for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students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.  Do we need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an alternative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language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in catalog regarding this matter? There is ‘</w:t>
            </w:r>
            <w:r>
              <w:rPr>
                <w:rFonts w:ascii="Calibri" w:hAnsi="Calibri" w:cs="Calibri"/>
                <w:szCs w:val="20"/>
                <w:u w:val="none"/>
              </w:rPr>
              <w:t>I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>ntermediate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Algebra’ language listed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as prerequisite and 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it has to be kept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in catalog</w:t>
            </w:r>
            <w:r w:rsidR="00F67647">
              <w:rPr>
                <w:rFonts w:ascii="Calibri" w:hAnsi="Calibri" w:cs="Calibri"/>
                <w:szCs w:val="20"/>
                <w:u w:val="none"/>
              </w:rPr>
              <w:t xml:space="preserve"> for articulation purposes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. Nursing communicated that</w:t>
            </w:r>
            <w:r w:rsidR="00F67647">
              <w:rPr>
                <w:rFonts w:ascii="Calibri" w:hAnsi="Calibri" w:cs="Calibri"/>
                <w:szCs w:val="20"/>
                <w:u w:val="none"/>
              </w:rPr>
              <w:t xml:space="preserve"> the program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now requires 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>Statistics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as req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>uisite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for 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the RN </w:t>
            </w:r>
            <w:r w:rsidR="00F67647">
              <w:rPr>
                <w:rFonts w:ascii="Calibri" w:hAnsi="Calibri" w:cs="Calibri"/>
                <w:szCs w:val="20"/>
                <w:u w:val="none"/>
              </w:rPr>
              <w:t>degree.  This has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not </w:t>
            </w:r>
            <w:r w:rsidR="00F67647">
              <w:rPr>
                <w:rFonts w:ascii="Calibri" w:hAnsi="Calibri" w:cs="Calibri"/>
                <w:szCs w:val="20"/>
                <w:u w:val="none"/>
              </w:rPr>
              <w:t xml:space="preserve">gone through the curriculum process and has not 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been communicated in catalog nor </w:t>
            </w:r>
            <w:r>
              <w:rPr>
                <w:rFonts w:ascii="Calibri" w:hAnsi="Calibri" w:cs="Calibri"/>
                <w:szCs w:val="20"/>
                <w:u w:val="none"/>
              </w:rPr>
              <w:t>is has been communicated to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the </w:t>
            </w:r>
            <w:r w:rsidR="00CB3200" w:rsidRPr="006D5DD3">
              <w:rPr>
                <w:rFonts w:ascii="Calibri" w:hAnsi="Calibri" w:cs="Calibri"/>
                <w:szCs w:val="20"/>
                <w:u w:val="none"/>
              </w:rPr>
              <w:t>Chancell</w:t>
            </w:r>
            <w:r w:rsidR="00CB3200">
              <w:rPr>
                <w:rFonts w:ascii="Calibri" w:hAnsi="Calibri" w:cs="Calibri"/>
                <w:szCs w:val="20"/>
                <w:u w:val="none"/>
              </w:rPr>
              <w:t>o</w:t>
            </w:r>
            <w:r w:rsidR="00CB3200" w:rsidRPr="006D5DD3">
              <w:rPr>
                <w:rFonts w:ascii="Calibri" w:hAnsi="Calibri" w:cs="Calibri"/>
                <w:szCs w:val="20"/>
                <w:u w:val="none"/>
              </w:rPr>
              <w:t>rs’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O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>ffice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. M</w:t>
            </w:r>
            <w:r w:rsidR="001618B3" w:rsidRPr="006D5DD3">
              <w:rPr>
                <w:rFonts w:ascii="Calibri" w:hAnsi="Calibri" w:cs="Calibri"/>
                <w:szCs w:val="20"/>
                <w:u w:val="none"/>
              </w:rPr>
              <w:t>ATH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 xml:space="preserve"> 71 </w:t>
            </w:r>
            <w:r w:rsidR="000F5252" w:rsidRPr="006D5DD3">
              <w:rPr>
                <w:rFonts w:ascii="Calibri" w:hAnsi="Calibri" w:cs="Calibri"/>
                <w:szCs w:val="20"/>
                <w:u w:val="none"/>
              </w:rPr>
              <w:t>s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till meets Ti</w:t>
            </w:r>
            <w:r w:rsidR="004234F4">
              <w:rPr>
                <w:rFonts w:ascii="Calibri" w:hAnsi="Calibri" w:cs="Calibri"/>
                <w:szCs w:val="20"/>
                <w:u w:val="none"/>
              </w:rPr>
              <w:t>t</w:t>
            </w:r>
            <w:r w:rsidR="0074480A" w:rsidRPr="006D5DD3">
              <w:rPr>
                <w:rFonts w:ascii="Calibri" w:hAnsi="Calibri" w:cs="Calibri"/>
                <w:szCs w:val="20"/>
                <w:u w:val="none"/>
              </w:rPr>
              <w:t>le 5 req</w:t>
            </w:r>
            <w:r w:rsidR="000F5252" w:rsidRPr="006D5DD3">
              <w:rPr>
                <w:rFonts w:ascii="Calibri" w:hAnsi="Calibri" w:cs="Calibri"/>
                <w:szCs w:val="20"/>
                <w:u w:val="none"/>
              </w:rPr>
              <w:t xml:space="preserve">uirements.  </w:t>
            </w:r>
          </w:p>
          <w:p w14:paraId="7825880A" w14:textId="3825C20B" w:rsidR="00051EDC" w:rsidRDefault="0093388B" w:rsidP="00DC225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Senate is agendi</w:t>
            </w:r>
            <w:r w:rsidR="000F5252">
              <w:rPr>
                <w:rFonts w:ascii="Calibri" w:hAnsi="Calibri" w:cs="Calibri"/>
                <w:szCs w:val="20"/>
                <w:u w:val="none"/>
              </w:rPr>
              <w:t>z</w:t>
            </w:r>
            <w:r>
              <w:rPr>
                <w:rFonts w:ascii="Calibri" w:hAnsi="Calibri" w:cs="Calibri"/>
                <w:szCs w:val="20"/>
                <w:u w:val="none"/>
              </w:rPr>
              <w:t>ing</w:t>
            </w:r>
            <w:r w:rsidR="00051EDC">
              <w:rPr>
                <w:rFonts w:ascii="Calibri" w:hAnsi="Calibri" w:cs="Calibri"/>
                <w:szCs w:val="20"/>
                <w:u w:val="none"/>
              </w:rPr>
              <w:t xml:space="preserve"> this</w:t>
            </w:r>
            <w:r w:rsidR="000F5252">
              <w:rPr>
                <w:rFonts w:ascii="Calibri" w:hAnsi="Calibri" w:cs="Calibri"/>
                <w:szCs w:val="20"/>
                <w:u w:val="none"/>
              </w:rPr>
              <w:t xml:space="preserve"> topic</w:t>
            </w:r>
            <w:r w:rsidR="00CB3200">
              <w:rPr>
                <w:rFonts w:ascii="Calibri" w:hAnsi="Calibri" w:cs="Calibri"/>
                <w:szCs w:val="20"/>
                <w:u w:val="none"/>
              </w:rPr>
              <w:t xml:space="preserve"> for A</w:t>
            </w:r>
            <w:r w:rsidR="00051EDC">
              <w:rPr>
                <w:rFonts w:ascii="Calibri" w:hAnsi="Calibri" w:cs="Calibri"/>
                <w:szCs w:val="20"/>
                <w:u w:val="none"/>
              </w:rPr>
              <w:t xml:space="preserve">MAC. Is this going to be taken care at a higher level? </w:t>
            </w:r>
            <w:r w:rsidR="000F5252">
              <w:rPr>
                <w:rFonts w:ascii="Calibri" w:hAnsi="Calibri" w:cs="Calibri"/>
                <w:szCs w:val="20"/>
                <w:u w:val="none"/>
              </w:rPr>
              <w:t>What about the effect</w:t>
            </w:r>
            <w:r w:rsidR="006D5DD3">
              <w:rPr>
                <w:rFonts w:ascii="Calibri" w:hAnsi="Calibri" w:cs="Calibri"/>
                <w:szCs w:val="20"/>
                <w:u w:val="none"/>
              </w:rPr>
              <w:t>s</w:t>
            </w:r>
            <w:r w:rsidR="000F5252">
              <w:rPr>
                <w:rFonts w:ascii="Calibri" w:hAnsi="Calibri" w:cs="Calibri"/>
                <w:szCs w:val="20"/>
                <w:u w:val="none"/>
              </w:rPr>
              <w:t xml:space="preserve"> having on catalog?</w:t>
            </w:r>
            <w:r w:rsidR="00051EDC">
              <w:rPr>
                <w:rFonts w:ascii="Calibri" w:hAnsi="Calibri" w:cs="Calibri"/>
                <w:szCs w:val="20"/>
                <w:u w:val="none"/>
              </w:rPr>
              <w:t xml:space="preserve"> This group should be </w:t>
            </w:r>
            <w:r w:rsidR="000F5252">
              <w:rPr>
                <w:rFonts w:ascii="Calibri" w:hAnsi="Calibri" w:cs="Calibri"/>
                <w:szCs w:val="20"/>
                <w:u w:val="none"/>
              </w:rPr>
              <w:t>the right path for taking action on this issue. This group may suggest or recommend</w:t>
            </w:r>
            <w:r w:rsidR="00051EDC">
              <w:rPr>
                <w:rFonts w:ascii="Calibri" w:hAnsi="Calibri" w:cs="Calibri"/>
                <w:szCs w:val="20"/>
                <w:u w:val="none"/>
              </w:rPr>
              <w:t xml:space="preserve"> to follow the process the ENGL courses went through</w:t>
            </w:r>
            <w:r w:rsidR="000F5252">
              <w:rPr>
                <w:rFonts w:ascii="Calibri" w:hAnsi="Calibri" w:cs="Calibri"/>
                <w:szCs w:val="20"/>
                <w:u w:val="none"/>
              </w:rPr>
              <w:t xml:space="preserve"> having to do with adding prerequisites equivalent to ENGL 1A which was a recommendation of the Academic Senate</w:t>
            </w:r>
            <w:r w:rsidR="00F67647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31D8F713" w14:textId="3BAC2213" w:rsidR="009762BB" w:rsidRPr="00973BDD" w:rsidRDefault="00973BDD" w:rsidP="00DC2253">
            <w:pPr>
              <w:rPr>
                <w:rFonts w:ascii="Calibri" w:hAnsi="Calibri" w:cs="Calibri"/>
                <w:b/>
                <w:szCs w:val="20"/>
                <w:u w:val="none"/>
              </w:rPr>
            </w:pPr>
            <w:r w:rsidRPr="00973BDD">
              <w:rPr>
                <w:rFonts w:ascii="Calibri" w:hAnsi="Calibri" w:cs="Calibri"/>
                <w:b/>
                <w:szCs w:val="20"/>
                <w:u w:val="none"/>
              </w:rPr>
              <w:t>Discussion to be continue next meeting</w:t>
            </w:r>
            <w:r w:rsidR="00934E2C" w:rsidRPr="00973BDD">
              <w:rPr>
                <w:rFonts w:ascii="Calibri" w:hAnsi="Calibri" w:cs="Calibri"/>
                <w:b/>
                <w:szCs w:val="20"/>
                <w:u w:val="none"/>
              </w:rPr>
              <w:t>.</w:t>
            </w:r>
            <w:r w:rsidRPr="00973BDD">
              <w:rPr>
                <w:rFonts w:ascii="Calibri" w:hAnsi="Calibri" w:cs="Calibri"/>
                <w:b/>
                <w:szCs w:val="20"/>
                <w:u w:val="none"/>
              </w:rPr>
              <w:t xml:space="preserve"> MATH department chair will be invited to a future meeting to share recommendations for options.</w:t>
            </w:r>
          </w:p>
          <w:p w14:paraId="0C60DA6A" w14:textId="46AC18C7" w:rsidR="00AC567A" w:rsidRDefault="00AC567A" w:rsidP="00DC225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533F7644" w14:textId="125B7D42" w:rsidR="00AC567A" w:rsidRDefault="00AC567A" w:rsidP="00DC225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 This topic was not discussed due to time constrains.</w:t>
            </w:r>
          </w:p>
          <w:p w14:paraId="2E85BD1D" w14:textId="77777777" w:rsidR="00642100" w:rsidRDefault="00642100" w:rsidP="00DC225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AA09A03" w14:textId="77777777" w:rsidR="00100390" w:rsidRPr="00DC2253" w:rsidRDefault="00100390" w:rsidP="00DC2253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90D70C9"/>
    <w:multiLevelType w:val="hybridMultilevel"/>
    <w:tmpl w:val="04CA1BD4"/>
    <w:lvl w:ilvl="0" w:tplc="66AA01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ADF4D62"/>
    <w:multiLevelType w:val="hybridMultilevel"/>
    <w:tmpl w:val="765898D8"/>
    <w:lvl w:ilvl="0" w:tplc="EF308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66F21AEA"/>
    <w:multiLevelType w:val="hybridMultilevel"/>
    <w:tmpl w:val="227EBC2C"/>
    <w:lvl w:ilvl="0" w:tplc="24923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6CE54B36"/>
    <w:multiLevelType w:val="hybridMultilevel"/>
    <w:tmpl w:val="42900B3A"/>
    <w:lvl w:ilvl="0" w:tplc="14FC8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404017"/>
    <w:multiLevelType w:val="hybridMultilevel"/>
    <w:tmpl w:val="7AD4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7F257E61"/>
    <w:multiLevelType w:val="hybridMultilevel"/>
    <w:tmpl w:val="CD908878"/>
    <w:lvl w:ilvl="0" w:tplc="15F00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0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1"/>
  </w:num>
  <w:num w:numId="21">
    <w:abstractNumId w:val="2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1EDC"/>
    <w:rsid w:val="00063FFC"/>
    <w:rsid w:val="000A38CA"/>
    <w:rsid w:val="000A4A34"/>
    <w:rsid w:val="000C0A1D"/>
    <w:rsid w:val="000D5741"/>
    <w:rsid w:val="000D66C8"/>
    <w:rsid w:val="000D738A"/>
    <w:rsid w:val="000D73E0"/>
    <w:rsid w:val="000E63F1"/>
    <w:rsid w:val="000E7447"/>
    <w:rsid w:val="000F5252"/>
    <w:rsid w:val="00100390"/>
    <w:rsid w:val="00135239"/>
    <w:rsid w:val="001447BB"/>
    <w:rsid w:val="00146C82"/>
    <w:rsid w:val="00150EB8"/>
    <w:rsid w:val="001618B3"/>
    <w:rsid w:val="00161D23"/>
    <w:rsid w:val="001640FD"/>
    <w:rsid w:val="00166138"/>
    <w:rsid w:val="001662D4"/>
    <w:rsid w:val="00196B28"/>
    <w:rsid w:val="001A5F47"/>
    <w:rsid w:val="001C0AC3"/>
    <w:rsid w:val="001C464C"/>
    <w:rsid w:val="001E14DB"/>
    <w:rsid w:val="001E7D3A"/>
    <w:rsid w:val="001F0D2E"/>
    <w:rsid w:val="00205916"/>
    <w:rsid w:val="002136C6"/>
    <w:rsid w:val="00216BEE"/>
    <w:rsid w:val="0022122D"/>
    <w:rsid w:val="00230A9F"/>
    <w:rsid w:val="00237F43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2D4CE7"/>
    <w:rsid w:val="00303851"/>
    <w:rsid w:val="00306A8D"/>
    <w:rsid w:val="0031629E"/>
    <w:rsid w:val="003257AB"/>
    <w:rsid w:val="003345F1"/>
    <w:rsid w:val="00334AFC"/>
    <w:rsid w:val="003479CD"/>
    <w:rsid w:val="00372786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1568"/>
    <w:rsid w:val="003C5034"/>
    <w:rsid w:val="003C7307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34F4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12A18"/>
    <w:rsid w:val="00632607"/>
    <w:rsid w:val="0063431C"/>
    <w:rsid w:val="006373C3"/>
    <w:rsid w:val="006376F5"/>
    <w:rsid w:val="00642100"/>
    <w:rsid w:val="00644ABE"/>
    <w:rsid w:val="00653113"/>
    <w:rsid w:val="006561A6"/>
    <w:rsid w:val="00664B01"/>
    <w:rsid w:val="006656E0"/>
    <w:rsid w:val="00676A27"/>
    <w:rsid w:val="00687418"/>
    <w:rsid w:val="00692D67"/>
    <w:rsid w:val="006A6ABC"/>
    <w:rsid w:val="006B0D54"/>
    <w:rsid w:val="006B2C77"/>
    <w:rsid w:val="006C637F"/>
    <w:rsid w:val="006C7AEB"/>
    <w:rsid w:val="006D5DD3"/>
    <w:rsid w:val="006E0779"/>
    <w:rsid w:val="006E4BEC"/>
    <w:rsid w:val="006E6F53"/>
    <w:rsid w:val="006E77F5"/>
    <w:rsid w:val="00726D3C"/>
    <w:rsid w:val="0072724E"/>
    <w:rsid w:val="00727877"/>
    <w:rsid w:val="0074480A"/>
    <w:rsid w:val="00752F68"/>
    <w:rsid w:val="00770719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D7074"/>
    <w:rsid w:val="007E6A68"/>
    <w:rsid w:val="007F2782"/>
    <w:rsid w:val="007F4A89"/>
    <w:rsid w:val="00820A30"/>
    <w:rsid w:val="00825036"/>
    <w:rsid w:val="00846536"/>
    <w:rsid w:val="0085288C"/>
    <w:rsid w:val="00861334"/>
    <w:rsid w:val="00862AEF"/>
    <w:rsid w:val="00896105"/>
    <w:rsid w:val="008A70BD"/>
    <w:rsid w:val="008C19DC"/>
    <w:rsid w:val="008C27F7"/>
    <w:rsid w:val="008E0057"/>
    <w:rsid w:val="008E12A0"/>
    <w:rsid w:val="008E1DD9"/>
    <w:rsid w:val="008E2C9A"/>
    <w:rsid w:val="008F245B"/>
    <w:rsid w:val="008F5252"/>
    <w:rsid w:val="008F5994"/>
    <w:rsid w:val="009065B3"/>
    <w:rsid w:val="00927C77"/>
    <w:rsid w:val="0093388B"/>
    <w:rsid w:val="00934E2C"/>
    <w:rsid w:val="00935E90"/>
    <w:rsid w:val="00953777"/>
    <w:rsid w:val="00961BAB"/>
    <w:rsid w:val="00973BDD"/>
    <w:rsid w:val="00973CF5"/>
    <w:rsid w:val="009762BB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1DB3"/>
    <w:rsid w:val="00A1242C"/>
    <w:rsid w:val="00A179E0"/>
    <w:rsid w:val="00A23033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0C59"/>
    <w:rsid w:val="00AA5762"/>
    <w:rsid w:val="00AC4FCD"/>
    <w:rsid w:val="00AC51CC"/>
    <w:rsid w:val="00AC567A"/>
    <w:rsid w:val="00AC6173"/>
    <w:rsid w:val="00AD21FB"/>
    <w:rsid w:val="00AD5AD3"/>
    <w:rsid w:val="00AD6CCD"/>
    <w:rsid w:val="00AE194C"/>
    <w:rsid w:val="00AF22A1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6795A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3CE5"/>
    <w:rsid w:val="00C27A07"/>
    <w:rsid w:val="00C36EFB"/>
    <w:rsid w:val="00C406BA"/>
    <w:rsid w:val="00C416C7"/>
    <w:rsid w:val="00C41C8D"/>
    <w:rsid w:val="00C4283C"/>
    <w:rsid w:val="00C466C0"/>
    <w:rsid w:val="00C67B26"/>
    <w:rsid w:val="00CA1CCD"/>
    <w:rsid w:val="00CB0029"/>
    <w:rsid w:val="00CB3200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2253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50785"/>
    <w:rsid w:val="00F62411"/>
    <w:rsid w:val="00F64B13"/>
    <w:rsid w:val="00F67647"/>
    <w:rsid w:val="00F75510"/>
    <w:rsid w:val="00F9727B"/>
    <w:rsid w:val="00F97B13"/>
    <w:rsid w:val="00FA09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68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6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http://schemas.openxmlformats.org/package/2006/metadata/core-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5CD68-B455-4A75-9F1A-6FC849F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25</cp:revision>
  <cp:lastPrinted>2022-09-13T22:13:00Z</cp:lastPrinted>
  <dcterms:created xsi:type="dcterms:W3CDTF">2022-09-13T22:18:00Z</dcterms:created>
  <dcterms:modified xsi:type="dcterms:W3CDTF">2022-09-27T22:41:00Z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