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44CF5B6A" w:rsidR="005A4AB0" w:rsidRPr="00692D67" w:rsidRDefault="001372ED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April 08</w:t>
      </w:r>
      <w:r w:rsidR="00AB2FC3">
        <w:rPr>
          <w:sz w:val="22"/>
          <w:szCs w:val="22"/>
          <w:u w:val="none"/>
        </w:rPr>
        <w:t xml:space="preserve">, </w:t>
      </w:r>
      <w:proofErr w:type="gramStart"/>
      <w:r w:rsidR="00AB2FC3">
        <w:rPr>
          <w:sz w:val="22"/>
          <w:szCs w:val="22"/>
          <w:u w:val="none"/>
        </w:rPr>
        <w:t>2025</w:t>
      </w:r>
      <w:proofErr w:type="gramEnd"/>
      <w:r w:rsidR="000E5111">
        <w:rPr>
          <w:sz w:val="22"/>
          <w:szCs w:val="22"/>
          <w:u w:val="none"/>
        </w:rPr>
        <w:t xml:space="preserve"> </w:t>
      </w:r>
      <w:r w:rsidR="003F7E6B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63D84794" w:rsidR="00FB0803" w:rsidRPr="00781A90" w:rsidRDefault="0065265D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C469EB5" w:rsidR="00FB0803" w:rsidRPr="00781A90" w:rsidRDefault="00777506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5371232B" w:rsidR="000A7125" w:rsidRDefault="00B2101E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6EC65D54" w:rsidR="00776A20" w:rsidRPr="00A16E29" w:rsidRDefault="00CE799F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66E74166" w:rsidR="005946FC" w:rsidRPr="00781A90" w:rsidRDefault="00CF479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37FA529" w:rsidR="00A16E29" w:rsidRPr="00A16E29" w:rsidRDefault="00CF479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340C9A"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2ED19B71" w:rsidR="00452A42" w:rsidRDefault="0065265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Shelley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Doonan</w:t>
      </w:r>
      <w:proofErr w:type="spellEnd"/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6BA1668" w:rsidR="00781A90" w:rsidRPr="00781A90" w:rsidRDefault="00CF479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04C9D900" w:rsidR="005946FC" w:rsidRDefault="0065265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EE7AE89" w:rsidR="00452A42" w:rsidRDefault="0065265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 w:rsidR="00A16E29"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6E60D250" w:rsidR="009051FE" w:rsidRDefault="0065265D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0A766958" w:rsidR="00781A90" w:rsidRPr="00781A90" w:rsidRDefault="00CF479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A7125"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42B2463C" w:rsidR="00781A90" w:rsidRDefault="00CF479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7533F3D" w:rsidR="00426EC7" w:rsidRDefault="000261B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E91B83E" w:rsidR="00781A90" w:rsidRDefault="000261B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7F40C0A8" w:rsidR="007F265C" w:rsidRPr="00DD6F1C" w:rsidRDefault="00CF4795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 with flexibility.</w:t>
            </w: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713F6A4F" w14:textId="77777777" w:rsidR="00356F7D" w:rsidRDefault="009419A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>AB 1111: Phase 2, Cluster 1, 2, and 3 Courses</w:t>
            </w:r>
          </w:p>
          <w:p w14:paraId="384CAC75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5E75F624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75EC7F3E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2EB0F85C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3C9F91F0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52FFEEE0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0FFFDB32" w14:textId="77777777" w:rsid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0D89207F" w14:textId="77777777" w:rsidR="00777506" w:rsidRPr="00777506" w:rsidRDefault="00777506" w:rsidP="00777506">
            <w:pPr>
              <w:rPr>
                <w:rFonts w:asciiTheme="majorHAnsi" w:hAnsiTheme="majorHAnsi" w:cstheme="majorHAnsi"/>
                <w:bCs/>
                <w:szCs w:val="20"/>
              </w:rPr>
            </w:pPr>
          </w:p>
          <w:p w14:paraId="46CBD745" w14:textId="27B61581" w:rsidR="00FF622E" w:rsidRPr="00BC6C3D" w:rsidRDefault="00FF622E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>
              <w:rPr>
                <w:rFonts w:asciiTheme="majorHAnsi" w:hAnsiTheme="majorHAnsi" w:cstheme="majorHAnsi"/>
                <w:bCs/>
                <w:szCs w:val="20"/>
              </w:rPr>
              <w:t xml:space="preserve">BUSS 85 Update 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46FDCB" w14:textId="369793CD" w:rsidR="00F04272" w:rsidRPr="001D1BB2" w:rsidRDefault="00CF4795" w:rsidP="00CF4795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 xml:space="preserve">1. Phase 1 courses will be in the 25-26 catalog. Phase 2, cluster 1, the following courses need to be updated for the 26-27 catalog: </w:t>
            </w:r>
          </w:p>
          <w:p w14:paraId="0FE34B5C" w14:textId="36CC424C" w:rsidR="00CF4795" w:rsidRPr="001D1BB2" w:rsidRDefault="00CF4795" w:rsidP="00CF4795">
            <w:pPr>
              <w:ind w:left="720"/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>HIST 7, 7H, 8, 8H (same prefix)</w:t>
            </w:r>
          </w:p>
          <w:p w14:paraId="20DA0368" w14:textId="26940CA6" w:rsidR="00CF4795" w:rsidRPr="001D1BB2" w:rsidRDefault="00CF4795" w:rsidP="00CF4795">
            <w:pPr>
              <w:ind w:left="720"/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>AHIS 4, 4H, 5, and 5H (New prefix – ARTH)</w:t>
            </w:r>
          </w:p>
          <w:p w14:paraId="279307BD" w14:textId="34EB91CD" w:rsidR="00CF4795" w:rsidRPr="001D1BB2" w:rsidRDefault="00CF4795" w:rsidP="00CF4795">
            <w:pPr>
              <w:ind w:left="720"/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>BUSC 1A, 1AH, 1B, 1BH (New prefix – ECON)</w:t>
            </w:r>
          </w:p>
          <w:p w14:paraId="606D82E6" w14:textId="77777777" w:rsidR="00CF4795" w:rsidRPr="001D1BB2" w:rsidRDefault="00CF4795" w:rsidP="00CF4795">
            <w:pPr>
              <w:ind w:left="720"/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>ENGL 1B, 1BH (same prefix)</w:t>
            </w:r>
          </w:p>
          <w:p w14:paraId="549AED17" w14:textId="7C53B117" w:rsidR="00CF4795" w:rsidRDefault="00CF4795" w:rsidP="00CF4795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 xml:space="preserve">Phase 2, cluster 2 &amp; 3 and Phase 3 will need to be updated for the 27-28 catalog. </w:t>
            </w:r>
            <w:r w:rsidR="00264A05" w:rsidRPr="001D1BB2">
              <w:rPr>
                <w:rFonts w:asciiTheme="minorHAnsi" w:hAnsiTheme="minorHAnsi" w:cstheme="minorHAnsi"/>
                <w:szCs w:val="20"/>
                <w:u w:val="none"/>
              </w:rPr>
              <w:t xml:space="preserve">Tania asked Malcolm to start preparing the proposal for the batch recommendation process for the Phase II, Cluster I </w:t>
            </w:r>
            <w:proofErr w:type="gramStart"/>
            <w:r w:rsidR="00264A05" w:rsidRPr="001D1BB2">
              <w:rPr>
                <w:rFonts w:asciiTheme="minorHAnsi" w:hAnsiTheme="minorHAnsi" w:cstheme="minorHAnsi"/>
                <w:szCs w:val="20"/>
                <w:u w:val="none"/>
              </w:rPr>
              <w:t>courses</w:t>
            </w:r>
            <w:proofErr w:type="gramEnd"/>
            <w:r w:rsidR="00264A05" w:rsidRPr="001D1BB2">
              <w:rPr>
                <w:rFonts w:asciiTheme="minorHAnsi" w:hAnsiTheme="minorHAnsi" w:cstheme="minorHAnsi"/>
                <w:szCs w:val="20"/>
                <w:u w:val="none"/>
              </w:rPr>
              <w:t xml:space="preserve">. </w:t>
            </w:r>
          </w:p>
          <w:p w14:paraId="2B8CE62E" w14:textId="77777777" w:rsidR="001D1BB2" w:rsidRDefault="001D1BB2" w:rsidP="00CF4795">
            <w:pPr>
              <w:rPr>
                <w:rFonts w:asciiTheme="minorHAnsi" w:hAnsiTheme="minorHAnsi" w:cstheme="minorHAnsi"/>
                <w:szCs w:val="20"/>
                <w:u w:val="none"/>
              </w:rPr>
            </w:pPr>
          </w:p>
          <w:p w14:paraId="2EABE905" w14:textId="77777777" w:rsidR="001D1BB2" w:rsidRPr="001D1BB2" w:rsidRDefault="001D1BB2" w:rsidP="00CF4795">
            <w:pPr>
              <w:rPr>
                <w:rFonts w:asciiTheme="minorHAnsi" w:hAnsiTheme="minorHAnsi" w:cstheme="minorHAnsi"/>
                <w:szCs w:val="20"/>
                <w:u w:val="none"/>
              </w:rPr>
            </w:pPr>
          </w:p>
          <w:p w14:paraId="0CCBB8B1" w14:textId="2472CBD4" w:rsidR="00CF4795" w:rsidRPr="001D1BB2" w:rsidRDefault="00CF4795" w:rsidP="00CF4795">
            <w:pPr>
              <w:rPr>
                <w:rFonts w:asciiTheme="minorHAnsi" w:hAnsiTheme="minorHAnsi" w:cstheme="minorHAnsi"/>
                <w:szCs w:val="20"/>
                <w:u w:val="none"/>
              </w:rPr>
            </w:pPr>
            <w:r w:rsidRPr="001D1BB2">
              <w:rPr>
                <w:rFonts w:asciiTheme="minorHAnsi" w:hAnsiTheme="minorHAnsi" w:cstheme="minorHAnsi"/>
                <w:szCs w:val="20"/>
                <w:u w:val="none"/>
              </w:rPr>
              <w:t xml:space="preserve">2. </w:t>
            </w:r>
            <w:r w:rsidR="00777506" w:rsidRPr="001D1BB2">
              <w:rPr>
                <w:rFonts w:asciiTheme="minorHAnsi" w:hAnsiTheme="minorHAnsi" w:cstheme="minorHAnsi"/>
                <w:szCs w:val="20"/>
                <w:u w:val="none"/>
              </w:rPr>
              <w:t>The author was notified that EDC and C&amp;I did not approve the course</w:t>
            </w:r>
            <w:r w:rsidR="001D1BB2">
              <w:rPr>
                <w:rFonts w:asciiTheme="minorHAnsi" w:hAnsiTheme="minorHAnsi" w:cstheme="minorHAnsi"/>
                <w:szCs w:val="20"/>
                <w:u w:val="none"/>
              </w:rPr>
              <w:t xml:space="preserve"> as submitted, the instructor will need to increase the class size</w:t>
            </w:r>
            <w:r w:rsidR="00777506" w:rsidRPr="001D1BB2">
              <w:rPr>
                <w:rFonts w:asciiTheme="minorHAnsi" w:hAnsiTheme="minorHAnsi" w:cstheme="minorHAnsi"/>
                <w:szCs w:val="20"/>
                <w:u w:val="none"/>
              </w:rPr>
              <w:t xml:space="preserve">. </w:t>
            </w:r>
            <w:r w:rsidR="001D1BB2">
              <w:rPr>
                <w:rFonts w:asciiTheme="minorHAnsi" w:hAnsiTheme="minorHAnsi" w:cstheme="minorHAnsi"/>
                <w:szCs w:val="20"/>
                <w:u w:val="none"/>
              </w:rPr>
              <w:t xml:space="preserve">The instructor was advised to submit a class size form to correct the issue. </w:t>
            </w: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B1CACBB" w14:textId="3A00B42E" w:rsidR="00131B33" w:rsidRPr="00131B33" w:rsidRDefault="00CE799F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25, 2025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BC2090" w14:textId="5A8D2BFB" w:rsidR="00131B33" w:rsidRPr="00131B33" w:rsidRDefault="00CE799F" w:rsidP="00131B3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99A5C6A" w14:textId="3A421D98" w:rsidR="00CE799F" w:rsidRDefault="00CE799F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a. Accepted. </w:t>
            </w:r>
          </w:p>
          <w:p w14:paraId="60AB5576" w14:textId="77777777" w:rsidR="00CE799F" w:rsidRDefault="00CE799F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08D2A32" w14:textId="77777777" w:rsidR="00CE799F" w:rsidRDefault="00CE799F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4C8D97B" w14:textId="2CBC4AF9" w:rsidR="00CE799F" w:rsidRDefault="00CE799F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a. </w:t>
            </w:r>
            <w:r w:rsidR="00501D68"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7924DFF5" w:rsidR="00356F7D" w:rsidRPr="006D4C16" w:rsidRDefault="00356F7D" w:rsidP="001A254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528A935A" w14:textId="5B503C1C" w:rsidR="00356F7D" w:rsidRPr="001A2541" w:rsidRDefault="00356F7D" w:rsidP="001A254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0A8DA7E" w14:textId="2227D67C" w:rsidR="00980D06" w:rsidRPr="00980D06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 – M. Rickard</w:t>
            </w:r>
          </w:p>
          <w:p w14:paraId="305E9C11" w14:textId="53A29E89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01F12323" w14:textId="68F570E0" w:rsidR="00980D06" w:rsidRDefault="00980D06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980D06">
              <w:rPr>
                <w:rFonts w:asciiTheme="majorHAnsi" w:hAnsiTheme="majorHAnsi" w:cstheme="majorHAnsi"/>
                <w:bCs/>
              </w:rPr>
              <w:t xml:space="preserve">Specific courses that are part of the </w:t>
            </w:r>
            <w:hyperlink r:id="rId12" w:anchor="gerequirementstext" w:history="1">
              <w:r w:rsidRPr="00980D06">
                <w:rPr>
                  <w:rStyle w:val="Hyperlink"/>
                  <w:rFonts w:asciiTheme="majorHAnsi" w:hAnsiTheme="majorHAnsi" w:cstheme="majorHAnsi"/>
                  <w:bCs/>
                </w:rPr>
                <w:t>Mt. SAC local GE Pattern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6474897C" w14:textId="77777777" w:rsidR="006D31AE" w:rsidRDefault="006D31AE" w:rsidP="006D31AE">
            <w:pPr>
              <w:rPr>
                <w:rFonts w:asciiTheme="majorHAnsi" w:hAnsiTheme="majorHAnsi" w:cstheme="majorHAnsi"/>
                <w:bCs/>
              </w:rPr>
            </w:pPr>
          </w:p>
          <w:p w14:paraId="3BABD9D9" w14:textId="77777777" w:rsidR="006D31AE" w:rsidRDefault="006D31AE" w:rsidP="006D31AE">
            <w:pPr>
              <w:rPr>
                <w:rFonts w:asciiTheme="majorHAnsi" w:hAnsiTheme="majorHAnsi" w:cstheme="majorHAnsi"/>
                <w:bCs/>
              </w:rPr>
            </w:pPr>
          </w:p>
          <w:p w14:paraId="5387C3E2" w14:textId="77777777" w:rsidR="006D31AE" w:rsidRDefault="006D31AE" w:rsidP="006D31AE">
            <w:pPr>
              <w:rPr>
                <w:rFonts w:asciiTheme="majorHAnsi" w:hAnsiTheme="majorHAnsi" w:cstheme="majorHAnsi"/>
                <w:bCs/>
              </w:rPr>
            </w:pPr>
          </w:p>
          <w:p w14:paraId="3C70E1CF" w14:textId="77777777" w:rsidR="006D31AE" w:rsidRPr="006D31AE" w:rsidRDefault="006D31AE" w:rsidP="006D31AE">
            <w:pPr>
              <w:rPr>
                <w:rFonts w:asciiTheme="majorHAnsi" w:hAnsiTheme="majorHAnsi" w:cstheme="majorHAnsi"/>
                <w:bCs/>
              </w:rPr>
            </w:pPr>
          </w:p>
          <w:p w14:paraId="14C956C5" w14:textId="085EBD71" w:rsidR="009419AD" w:rsidRDefault="009419AD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AB 1111 Phase 2 Batch Approval Process – M. Rickard</w:t>
            </w:r>
          </w:p>
          <w:p w14:paraId="2D4A79AB" w14:textId="77777777" w:rsidR="00980D06" w:rsidRPr="00393B3B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1F7381E2" w14:textId="608D39F2" w:rsidR="00980D06" w:rsidRDefault="006D31AE" w:rsidP="00980D06">
            <w:pPr>
              <w:pStyle w:val="ListParagraph"/>
              <w:ind w:left="1260"/>
              <w:rPr>
                <w:rStyle w:val="Hyperlink"/>
                <w:rFonts w:asciiTheme="majorHAnsi" w:hAnsiTheme="majorHAnsi" w:cstheme="majorHAnsi"/>
                <w:bCs/>
              </w:rPr>
            </w:pPr>
            <w:hyperlink r:id="rId13" w:history="1">
              <w:r w:rsidR="00980D06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3F989AB2" w14:textId="3E719C96" w:rsidR="00980D06" w:rsidRPr="00980D06" w:rsidRDefault="00980D06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6707D178" w14:textId="29BBB4BF" w:rsidR="00393B3B" w:rsidRPr="000E755C" w:rsidRDefault="00393B3B" w:rsidP="000E755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5F75D70" w14:textId="77777777" w:rsidR="00850E5F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B6FB4FB" w14:textId="77777777" w:rsidR="00501D68" w:rsidRDefault="00501D68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1. </w:t>
            </w:r>
            <w:r w:rsidR="00A4180D">
              <w:rPr>
                <w:rFonts w:ascii="Calibri" w:hAnsi="Calibri" w:cs="Calibri"/>
                <w:szCs w:val="20"/>
                <w:u w:val="none"/>
              </w:rPr>
              <w:t xml:space="preserve">The council reviewed the EDC Purpose and Function and provided edits. Motion to approve the EDC Purpose and Function 2024-2025 with edits. Approved. </w:t>
            </w:r>
          </w:p>
          <w:p w14:paraId="6CA0CEAF" w14:textId="77777777" w:rsidR="001D1BB2" w:rsidRDefault="00A4180D" w:rsidP="001D1BB2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2. </w:t>
            </w:r>
          </w:p>
          <w:p w14:paraId="264C6942" w14:textId="740BB95B" w:rsidR="001D1BB2" w:rsidRDefault="00A4180D" w:rsidP="006D31AE">
            <w:pPr>
              <w:ind w:left="720"/>
              <w:rPr>
                <w:rFonts w:ascii="Calibri" w:hAnsi="Calibri" w:cs="Calibri"/>
                <w:szCs w:val="20"/>
                <w:u w:val="none"/>
              </w:rPr>
            </w:pPr>
            <w:proofErr w:type="spellStart"/>
            <w:r>
              <w:rPr>
                <w:rFonts w:ascii="Calibri" w:hAnsi="Calibri" w:cs="Calibri"/>
                <w:szCs w:val="20"/>
                <w:u w:val="none"/>
              </w:rPr>
              <w:t>i</w:t>
            </w:r>
            <w:proofErr w:type="spellEnd"/>
            <w:r>
              <w:rPr>
                <w:rFonts w:ascii="Calibri" w:hAnsi="Calibri" w:cs="Calibri"/>
                <w:szCs w:val="20"/>
                <w:u w:val="none"/>
              </w:rPr>
              <w:t xml:space="preserve">) </w:t>
            </w:r>
            <w:r w:rsidR="00F56B65">
              <w:rPr>
                <w:rFonts w:ascii="Calibri" w:hAnsi="Calibri" w:cs="Calibri"/>
                <w:szCs w:val="20"/>
                <w:u w:val="none"/>
              </w:rPr>
              <w:t xml:space="preserve">AP 4100 will need to be </w:t>
            </w:r>
            <w:r w:rsidR="00441882">
              <w:rPr>
                <w:rFonts w:ascii="Calibri" w:hAnsi="Calibri" w:cs="Calibri"/>
                <w:szCs w:val="20"/>
                <w:u w:val="none"/>
              </w:rPr>
              <w:t>reviewed</w:t>
            </w:r>
            <w:r w:rsidR="00F56B65">
              <w:rPr>
                <w:rFonts w:ascii="Calibri" w:hAnsi="Calibri" w:cs="Calibri"/>
                <w:szCs w:val="20"/>
                <w:u w:val="none"/>
              </w:rPr>
              <w:t xml:space="preserve"> once senate </w:t>
            </w:r>
            <w:r w:rsidR="00441882">
              <w:rPr>
                <w:rFonts w:ascii="Calibri" w:hAnsi="Calibri" w:cs="Calibri"/>
                <w:szCs w:val="20"/>
                <w:u w:val="none"/>
              </w:rPr>
              <w:t>the changes</w:t>
            </w:r>
            <w:r w:rsidR="00F56B65">
              <w:rPr>
                <w:rFonts w:ascii="Calibri" w:hAnsi="Calibri" w:cs="Calibri"/>
                <w:szCs w:val="20"/>
                <w:u w:val="none"/>
              </w:rPr>
              <w:t xml:space="preserve"> to the local GE pattern</w:t>
            </w:r>
            <w:r w:rsidR="00441882">
              <w:rPr>
                <w:rFonts w:ascii="Calibri" w:hAnsi="Calibri" w:cs="Calibri"/>
                <w:szCs w:val="20"/>
                <w:u w:val="none"/>
              </w:rPr>
              <w:t xml:space="preserve"> are approved.</w:t>
            </w:r>
          </w:p>
          <w:p w14:paraId="3132D15F" w14:textId="77777777" w:rsidR="006D31AE" w:rsidRDefault="006D31AE" w:rsidP="006D31AE">
            <w:pPr>
              <w:ind w:left="720"/>
              <w:rPr>
                <w:rFonts w:ascii="Calibri" w:hAnsi="Calibri" w:cs="Calibri"/>
                <w:szCs w:val="20"/>
                <w:u w:val="none"/>
              </w:rPr>
            </w:pPr>
          </w:p>
          <w:p w14:paraId="09CDBA63" w14:textId="77777777" w:rsidR="006D31AE" w:rsidRDefault="006D31AE" w:rsidP="006D31AE">
            <w:pPr>
              <w:ind w:left="720"/>
              <w:rPr>
                <w:rFonts w:ascii="Calibri" w:hAnsi="Calibri" w:cs="Calibri"/>
                <w:szCs w:val="20"/>
                <w:u w:val="none"/>
              </w:rPr>
            </w:pPr>
          </w:p>
          <w:p w14:paraId="4DC4E8FE" w14:textId="1071AD22" w:rsidR="00A4180D" w:rsidRDefault="00A4180D" w:rsidP="001D1BB2">
            <w:pPr>
              <w:ind w:left="720"/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ii) Mt. SAC added the ethnic studies requirement and the math requirement</w:t>
            </w:r>
            <w:r w:rsidR="00441882">
              <w:rPr>
                <w:rFonts w:ascii="Calibri" w:hAnsi="Calibri" w:cs="Calibri"/>
                <w:szCs w:val="20"/>
                <w:u w:val="none"/>
              </w:rPr>
              <w:t xml:space="preserve"> to the local GE pattern</w:t>
            </w:r>
            <w:r>
              <w:rPr>
                <w:rFonts w:ascii="Calibri" w:hAnsi="Calibri" w:cs="Calibri"/>
                <w:szCs w:val="20"/>
                <w:u w:val="none"/>
              </w:rPr>
              <w:t>. The understanding is that the rest of the general ed</w:t>
            </w:r>
            <w:r w:rsidR="00441882">
              <w:rPr>
                <w:rFonts w:ascii="Calibri" w:hAnsi="Calibri" w:cs="Calibri"/>
                <w:szCs w:val="20"/>
                <w:u w:val="none"/>
              </w:rPr>
              <w:t xml:space="preserve"> pattern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would stay the same. </w:t>
            </w:r>
            <w:r w:rsidR="00441882">
              <w:rPr>
                <w:rFonts w:ascii="Calibri" w:hAnsi="Calibri" w:cs="Calibri"/>
                <w:szCs w:val="20"/>
                <w:u w:val="none"/>
              </w:rPr>
              <w:t xml:space="preserve">Current practice is to automatically approve 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course approved for CSU </w:t>
            </w:r>
            <w:r w:rsidR="00441882">
              <w:rPr>
                <w:rFonts w:ascii="Calibri" w:hAnsi="Calibri" w:cs="Calibri"/>
                <w:szCs w:val="20"/>
                <w:u w:val="none"/>
              </w:rPr>
              <w:t>transfer pattern to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automatically approved for the local general education pattern. For this year, Jamaika recommends that if the course is approved for Cal-GETC it is placed in the same area. Faculty Senate can have a discussion in the future to see if a new process needs to be followed. </w:t>
            </w:r>
          </w:p>
          <w:p w14:paraId="57DAC68C" w14:textId="63CB2F07" w:rsidR="00F56B65" w:rsidRDefault="00F56B65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3. </w:t>
            </w:r>
            <w:r w:rsidR="006D31AE">
              <w:rPr>
                <w:rFonts w:ascii="Calibri" w:hAnsi="Calibri" w:cs="Calibri"/>
                <w:szCs w:val="20"/>
                <w:u w:val="none"/>
              </w:rPr>
              <w:t>Malcolm will start working on a draft for phase 2, cluster 1 batch approval process recommendation.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6AF67D2A" w14:textId="34E79193" w:rsidR="00F56B65" w:rsidRDefault="00F56B65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4. Hold for future meeting.</w:t>
            </w:r>
          </w:p>
          <w:p w14:paraId="7038ABB9" w14:textId="77777777" w:rsidR="006D31AE" w:rsidRDefault="006D31AE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A12BD61" w14:textId="77777777" w:rsidR="006D31AE" w:rsidRDefault="006D31AE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F069CBB" w14:textId="77777777" w:rsidR="006D31AE" w:rsidRDefault="006D31AE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505990F9" w14:textId="6E4C1DEE" w:rsidR="00F56B65" w:rsidRDefault="00F56B65" w:rsidP="000A71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5. Hold for future meeting. </w:t>
            </w:r>
          </w:p>
          <w:p w14:paraId="31FBE81F" w14:textId="3CDC1E94" w:rsidR="00A4180D" w:rsidRPr="00C46008" w:rsidRDefault="00A4180D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03D53635" w:rsidR="00E469E5" w:rsidRPr="00980D06" w:rsidRDefault="00D419A8" w:rsidP="00980D0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C9BCB412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C42A28E4">
      <w:start w:val="1"/>
      <w:numFmt w:val="lowerLetter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1B2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12424"/>
    <w:rsid w:val="0011289D"/>
    <w:rsid w:val="00113353"/>
    <w:rsid w:val="0011475A"/>
    <w:rsid w:val="00117056"/>
    <w:rsid w:val="00123110"/>
    <w:rsid w:val="0013158D"/>
    <w:rsid w:val="00131B33"/>
    <w:rsid w:val="001323AF"/>
    <w:rsid w:val="00133669"/>
    <w:rsid w:val="0013390E"/>
    <w:rsid w:val="00134FAC"/>
    <w:rsid w:val="00135239"/>
    <w:rsid w:val="0013653B"/>
    <w:rsid w:val="001372ED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2541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1BB2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4A05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321E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0895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0C0C"/>
    <w:rsid w:val="00352A1A"/>
    <w:rsid w:val="00352D73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35E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3F7E6B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1882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01D68"/>
    <w:rsid w:val="005048D0"/>
    <w:rsid w:val="0051006C"/>
    <w:rsid w:val="00511467"/>
    <w:rsid w:val="00511D94"/>
    <w:rsid w:val="00513816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367F4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265D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5A02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58EC"/>
    <w:rsid w:val="006B6832"/>
    <w:rsid w:val="006C62DE"/>
    <w:rsid w:val="006C637F"/>
    <w:rsid w:val="006C66A2"/>
    <w:rsid w:val="006C7AEB"/>
    <w:rsid w:val="006D0DEF"/>
    <w:rsid w:val="006D2BF0"/>
    <w:rsid w:val="006D31AE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77506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19AD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0D06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11D"/>
    <w:rsid w:val="009F2331"/>
    <w:rsid w:val="009F258B"/>
    <w:rsid w:val="009F5B8F"/>
    <w:rsid w:val="009F737E"/>
    <w:rsid w:val="00A006BA"/>
    <w:rsid w:val="00A0097B"/>
    <w:rsid w:val="00A01E98"/>
    <w:rsid w:val="00A05359"/>
    <w:rsid w:val="00A05DC8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180D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01E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DF6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51256"/>
    <w:rsid w:val="00C549BB"/>
    <w:rsid w:val="00C63218"/>
    <w:rsid w:val="00C677AD"/>
    <w:rsid w:val="00C67B26"/>
    <w:rsid w:val="00C752D6"/>
    <w:rsid w:val="00C80222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E799F"/>
    <w:rsid w:val="00CF33AA"/>
    <w:rsid w:val="00CF4795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D5C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5B72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004A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2BED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56B6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22E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tsac.edu/governance/committees/eddesign/document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talog.mtsac.edu/programs/degrees-certificat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11</cp:revision>
  <cp:lastPrinted>2023-10-19T18:04:00Z</cp:lastPrinted>
  <dcterms:created xsi:type="dcterms:W3CDTF">2025-04-08T19:58:00Z</dcterms:created>
  <dcterms:modified xsi:type="dcterms:W3CDTF">2025-04-09T22:51:00Z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