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222" w:rsidRDefault="00C22222" w:rsidP="00C22222">
      <w:pPr>
        <w:pStyle w:val="NormalWeb"/>
        <w:shd w:val="clear" w:color="auto" w:fill="FFFFFF"/>
        <w:spacing w:before="0" w:beforeAutospacing="0" w:after="0" w:afterAutospacing="0"/>
        <w:rPr>
          <w:rFonts w:ascii="Tahoma" w:hAnsi="Tahoma" w:cs="Tahoma"/>
          <w:color w:val="000000"/>
          <w:sz w:val="20"/>
          <w:szCs w:val="20"/>
        </w:rPr>
      </w:pPr>
    </w:p>
    <w:p w:rsidR="00C22222" w:rsidRPr="00FD3252" w:rsidRDefault="00C22222" w:rsidP="00C22222">
      <w:pPr>
        <w:pStyle w:val="NormalWeb"/>
        <w:shd w:val="clear" w:color="auto" w:fill="FFFFFF"/>
        <w:spacing w:before="0" w:beforeAutospacing="0" w:after="0" w:afterAutospacing="0"/>
        <w:jc w:val="center"/>
        <w:rPr>
          <w:color w:val="000000"/>
          <w:sz w:val="48"/>
          <w:szCs w:val="48"/>
        </w:rPr>
      </w:pPr>
      <w:r w:rsidRPr="00FD3252">
        <w:rPr>
          <w:color w:val="000000"/>
          <w:sz w:val="48"/>
          <w:szCs w:val="48"/>
        </w:rPr>
        <w:t>Learning Assistance Department Reading Placement Proposal</w:t>
      </w:r>
    </w:p>
    <w:p w:rsidR="00C22222" w:rsidRPr="00FD3252" w:rsidRDefault="00FD3252" w:rsidP="00C22222">
      <w:pPr>
        <w:pStyle w:val="NormalWeb"/>
        <w:shd w:val="clear" w:color="auto" w:fill="FFFFFF"/>
        <w:spacing w:before="0" w:beforeAutospacing="0" w:after="0" w:afterAutospacing="0"/>
        <w:jc w:val="center"/>
        <w:rPr>
          <w:color w:val="000000"/>
          <w:sz w:val="32"/>
          <w:szCs w:val="32"/>
        </w:rPr>
      </w:pPr>
      <w:r w:rsidRPr="00FD3252">
        <w:rPr>
          <w:color w:val="000000"/>
          <w:sz w:val="32"/>
          <w:szCs w:val="32"/>
        </w:rPr>
        <w:t>Fall 2018</w:t>
      </w:r>
    </w:p>
    <w:p w:rsidR="00C22222" w:rsidRDefault="00C22222" w:rsidP="00C22222">
      <w:pPr>
        <w:pStyle w:val="NormalWeb"/>
        <w:shd w:val="clear" w:color="auto" w:fill="FFFFFF"/>
        <w:spacing w:before="0" w:beforeAutospacing="0" w:after="0" w:afterAutospacing="0"/>
        <w:rPr>
          <w:rFonts w:ascii="Tahoma" w:hAnsi="Tahoma" w:cs="Tahoma"/>
          <w:color w:val="000000"/>
          <w:sz w:val="20"/>
          <w:szCs w:val="20"/>
        </w:rPr>
      </w:pPr>
      <w:bookmarkStart w:id="0" w:name="_GoBack"/>
      <w:bookmarkEnd w:id="0"/>
    </w:p>
    <w:p w:rsidR="00C22222" w:rsidRDefault="00C22222" w:rsidP="00C22222">
      <w:pPr>
        <w:pStyle w:val="NormalWeb"/>
        <w:shd w:val="clear" w:color="auto" w:fill="FFFFFF"/>
        <w:spacing w:before="0" w:beforeAutospacing="0" w:after="0" w:afterAutospacing="0"/>
        <w:rPr>
          <w:rFonts w:ascii="Tahoma" w:hAnsi="Tahoma" w:cs="Tahoma"/>
          <w:color w:val="000000"/>
          <w:sz w:val="20"/>
          <w:szCs w:val="20"/>
        </w:rPr>
      </w:pPr>
    </w:p>
    <w:p w:rsidR="00C22222" w:rsidRDefault="00C22222" w:rsidP="00C22222">
      <w:pPr>
        <w:pStyle w:val="NormalWeb"/>
        <w:shd w:val="clear" w:color="auto" w:fill="FFFFFF"/>
        <w:spacing w:before="0" w:beforeAutospacing="0" w:after="0" w:afterAutospacing="0"/>
      </w:pPr>
      <w:r w:rsidRPr="00C22222">
        <w:rPr>
          <w:b/>
        </w:rPr>
        <w:t xml:space="preserve">CURRENT </w:t>
      </w:r>
      <w:r w:rsidRPr="00C22222">
        <w:rPr>
          <w:b/>
        </w:rPr>
        <w:t>COURSE PLACEMENT</w:t>
      </w:r>
      <w:r w:rsidRPr="00C22222">
        <w:rPr>
          <w:b/>
        </w:rPr>
        <w:t>:</w:t>
      </w:r>
      <w:r>
        <w:t xml:space="preserve">  Based on Degrees of Reading Power (DRP) test results, students are placed into</w:t>
      </w:r>
      <w:r>
        <w:t xml:space="preserve"> reading classes at Mt. San Antonio College</w:t>
      </w:r>
      <w:r>
        <w:t xml:space="preserve"> to increase reading skills and improve academic success in </w:t>
      </w:r>
      <w:r>
        <w:t xml:space="preserve">college classes. </w:t>
      </w:r>
    </w:p>
    <w:p w:rsidR="00C22222" w:rsidRDefault="00C22222" w:rsidP="00C22222">
      <w:pPr>
        <w:pStyle w:val="NormalWeb"/>
        <w:shd w:val="clear" w:color="auto" w:fill="FFFFFF"/>
        <w:spacing w:before="0" w:beforeAutospacing="0" w:after="0" w:afterAutospacing="0"/>
      </w:pPr>
      <w:r>
        <w:t>Score</w:t>
      </w:r>
      <w:r>
        <w:t xml:space="preserve"> </w:t>
      </w:r>
      <w:r>
        <w:t>Eligibility</w:t>
      </w:r>
      <w:r>
        <w:t>:</w:t>
      </w:r>
    </w:p>
    <w:p w:rsidR="00C22222" w:rsidRDefault="00C22222" w:rsidP="00C22222">
      <w:pPr>
        <w:pStyle w:val="NormalWeb"/>
        <w:shd w:val="clear" w:color="auto" w:fill="FFFFFF"/>
        <w:spacing w:before="0" w:beforeAutospacing="0" w:after="0" w:afterAutospacing="0"/>
      </w:pPr>
    </w:p>
    <w:p w:rsidR="00C22222" w:rsidRDefault="00C22222" w:rsidP="00C22222">
      <w:pPr>
        <w:pStyle w:val="NormalWeb"/>
        <w:shd w:val="clear" w:color="auto" w:fill="FFFFFF"/>
        <w:spacing w:before="0" w:beforeAutospacing="0" w:after="0" w:afterAutospacing="0"/>
        <w:ind w:firstLine="720"/>
      </w:pPr>
      <w:r>
        <w:t xml:space="preserve">15 - 38 READ 70: Approaches to Reading </w:t>
      </w:r>
    </w:p>
    <w:p w:rsidR="00C22222" w:rsidRDefault="00C22222" w:rsidP="00C22222">
      <w:pPr>
        <w:pStyle w:val="NormalWeb"/>
        <w:shd w:val="clear" w:color="auto" w:fill="FFFFFF"/>
        <w:spacing w:before="0" w:beforeAutospacing="0" w:after="0" w:afterAutospacing="0"/>
        <w:ind w:firstLine="720"/>
      </w:pPr>
      <w:r>
        <w:t xml:space="preserve">39 - 53 READ 80: Exploring Reading Strategies </w:t>
      </w:r>
    </w:p>
    <w:p w:rsidR="00C22222" w:rsidRDefault="00C22222" w:rsidP="00C22222">
      <w:pPr>
        <w:pStyle w:val="NormalWeb"/>
        <w:shd w:val="clear" w:color="auto" w:fill="FFFFFF"/>
        <w:spacing w:before="0" w:beforeAutospacing="0" w:after="0" w:afterAutospacing="0"/>
        <w:ind w:firstLine="720"/>
      </w:pPr>
      <w:r>
        <w:t xml:space="preserve">54 - 64 READ 90: Reading College Texts </w:t>
      </w:r>
    </w:p>
    <w:p w:rsidR="00FD3252" w:rsidRDefault="00FD3252" w:rsidP="00C22222">
      <w:pPr>
        <w:pStyle w:val="NormalWeb"/>
        <w:shd w:val="clear" w:color="auto" w:fill="FFFFFF"/>
        <w:spacing w:before="0" w:beforeAutospacing="0" w:after="0" w:afterAutospacing="0"/>
        <w:ind w:firstLine="720"/>
      </w:pPr>
      <w:r>
        <w:t xml:space="preserve">           *Grade of C or higher meets graduation competency for local degree</w:t>
      </w:r>
    </w:p>
    <w:p w:rsidR="00FD3252" w:rsidRDefault="00C22222" w:rsidP="00C22222">
      <w:pPr>
        <w:pStyle w:val="NormalWeb"/>
        <w:shd w:val="clear" w:color="auto" w:fill="FFFFFF"/>
        <w:spacing w:before="0" w:beforeAutospacing="0" w:after="0" w:afterAutospacing="0"/>
        <w:ind w:firstLine="720"/>
      </w:pPr>
      <w:r>
        <w:t>65 - 97 READ 100: Analysis and Critical Reading</w:t>
      </w:r>
      <w:r>
        <w:t xml:space="preserve"> (CSU transferrable) </w:t>
      </w:r>
    </w:p>
    <w:p w:rsidR="00C22222" w:rsidRDefault="00FD3252" w:rsidP="00C22222">
      <w:pPr>
        <w:pStyle w:val="NormalWeb"/>
        <w:shd w:val="clear" w:color="auto" w:fill="FFFFFF"/>
        <w:spacing w:before="0" w:beforeAutospacing="0" w:after="0" w:afterAutospacing="0"/>
        <w:ind w:firstLine="720"/>
        <w:rPr>
          <w:rFonts w:ascii="Tahoma" w:hAnsi="Tahoma" w:cs="Tahoma"/>
          <w:color w:val="000000"/>
          <w:sz w:val="20"/>
          <w:szCs w:val="20"/>
        </w:rPr>
      </w:pPr>
      <w:r>
        <w:t xml:space="preserve">           *Eligibility meets graduation reading competency for local degree</w:t>
      </w:r>
    </w:p>
    <w:p w:rsidR="00C22222" w:rsidRDefault="00C22222" w:rsidP="00C22222">
      <w:pPr>
        <w:pStyle w:val="NormalWeb"/>
        <w:shd w:val="clear" w:color="auto" w:fill="FFFFFF"/>
        <w:spacing w:before="0" w:beforeAutospacing="0" w:after="0" w:afterAutospacing="0"/>
        <w:rPr>
          <w:rFonts w:ascii="Tahoma" w:hAnsi="Tahoma" w:cs="Tahoma"/>
          <w:color w:val="000000"/>
          <w:sz w:val="20"/>
          <w:szCs w:val="20"/>
        </w:rPr>
      </w:pPr>
    </w:p>
    <w:p w:rsidR="00C22222" w:rsidRDefault="00C22222" w:rsidP="00C22222">
      <w:pPr>
        <w:pStyle w:val="NormalWeb"/>
        <w:shd w:val="clear" w:color="auto" w:fill="FFFFFF"/>
        <w:spacing w:before="0" w:beforeAutospacing="0" w:after="0" w:afterAutospacing="0"/>
        <w:rPr>
          <w:color w:val="000000"/>
        </w:rPr>
      </w:pPr>
      <w:r>
        <w:rPr>
          <w:b/>
          <w:color w:val="000000"/>
        </w:rPr>
        <w:t xml:space="preserve">MULTIPLE MEASURE PROPOSAL: </w:t>
      </w:r>
      <w:r>
        <w:rPr>
          <w:color w:val="000000"/>
        </w:rPr>
        <w:t>To comply with AB 705, the Learning Assistance Department has agreed to follow the Common Assessment Initiative Reading Decision Rules for Schools with a Top Reading Level of Transfer-Level:</w:t>
      </w:r>
    </w:p>
    <w:p w:rsidR="00C22222" w:rsidRPr="00C22222" w:rsidRDefault="00C22222" w:rsidP="00C22222">
      <w:pPr>
        <w:pStyle w:val="NormalWeb"/>
        <w:shd w:val="clear" w:color="auto" w:fill="FFFFFF"/>
        <w:spacing w:before="0" w:beforeAutospacing="0" w:after="0" w:afterAutospacing="0"/>
        <w:rPr>
          <w:color w:val="000000"/>
        </w:rPr>
      </w:pPr>
    </w:p>
    <w:p w:rsidR="00C22222" w:rsidRDefault="00C22222" w:rsidP="00C22222">
      <w:pPr>
        <w:pStyle w:val="NormalWeb"/>
        <w:shd w:val="clear" w:color="auto" w:fill="FFFFFF"/>
        <w:spacing w:before="0" w:beforeAutospacing="0" w:after="0" w:afterAutospacing="0"/>
        <w:ind w:firstLine="720"/>
        <w:rPr>
          <w:color w:val="000000"/>
        </w:rPr>
      </w:pPr>
    </w:p>
    <w:tbl>
      <w:tblPr>
        <w:tblStyle w:val="TableGrid"/>
        <w:tblW w:w="0" w:type="auto"/>
        <w:tblLook w:val="04A0" w:firstRow="1" w:lastRow="0" w:firstColumn="1" w:lastColumn="0" w:noHBand="0" w:noVBand="1"/>
      </w:tblPr>
      <w:tblGrid>
        <w:gridCol w:w="3116"/>
        <w:gridCol w:w="3117"/>
        <w:gridCol w:w="3117"/>
      </w:tblGrid>
      <w:tr w:rsidR="00C22222" w:rsidTr="00C22222">
        <w:tc>
          <w:tcPr>
            <w:tcW w:w="3192" w:type="dxa"/>
          </w:tcPr>
          <w:p w:rsidR="00C22222" w:rsidRDefault="00C22222" w:rsidP="00C22222">
            <w:pPr>
              <w:pStyle w:val="NormalWeb"/>
              <w:spacing w:before="0" w:beforeAutospacing="0" w:after="0" w:afterAutospacing="0"/>
              <w:rPr>
                <w:color w:val="000000"/>
              </w:rPr>
            </w:pPr>
            <w:r>
              <w:rPr>
                <w:color w:val="000000"/>
              </w:rPr>
              <w:t>Level</w:t>
            </w:r>
          </w:p>
        </w:tc>
        <w:tc>
          <w:tcPr>
            <w:tcW w:w="3192" w:type="dxa"/>
          </w:tcPr>
          <w:p w:rsidR="00C22222" w:rsidRDefault="00C22222" w:rsidP="00C22222">
            <w:pPr>
              <w:pStyle w:val="NormalWeb"/>
              <w:spacing w:before="0" w:beforeAutospacing="0" w:after="0" w:afterAutospacing="0"/>
              <w:rPr>
                <w:color w:val="000000"/>
              </w:rPr>
            </w:pPr>
            <w:r>
              <w:rPr>
                <w:color w:val="000000"/>
              </w:rPr>
              <w:t xml:space="preserve">Direct </w:t>
            </w:r>
            <w:proofErr w:type="spellStart"/>
            <w:r>
              <w:rPr>
                <w:color w:val="000000"/>
              </w:rPr>
              <w:t>Matriculants</w:t>
            </w:r>
            <w:proofErr w:type="spellEnd"/>
            <w:r>
              <w:rPr>
                <w:color w:val="000000"/>
              </w:rPr>
              <w:t xml:space="preserve"> (up through 11</w:t>
            </w:r>
            <w:r w:rsidRPr="00C22222">
              <w:rPr>
                <w:color w:val="000000"/>
                <w:vertAlign w:val="superscript"/>
              </w:rPr>
              <w:t>th</w:t>
            </w:r>
            <w:r>
              <w:rPr>
                <w:color w:val="000000"/>
              </w:rPr>
              <w:t xml:space="preserve"> grade)</w:t>
            </w:r>
          </w:p>
        </w:tc>
        <w:tc>
          <w:tcPr>
            <w:tcW w:w="3192" w:type="dxa"/>
          </w:tcPr>
          <w:p w:rsidR="00C22222" w:rsidRDefault="00C22222" w:rsidP="00C22222">
            <w:pPr>
              <w:pStyle w:val="NormalWeb"/>
              <w:spacing w:before="0" w:beforeAutospacing="0" w:after="0" w:afterAutospacing="0"/>
              <w:rPr>
                <w:color w:val="000000"/>
              </w:rPr>
            </w:pPr>
            <w:r>
              <w:rPr>
                <w:color w:val="000000"/>
              </w:rPr>
              <w:t xml:space="preserve">Non-direct </w:t>
            </w:r>
            <w:proofErr w:type="spellStart"/>
            <w:r>
              <w:rPr>
                <w:color w:val="000000"/>
              </w:rPr>
              <w:t>Matriculants</w:t>
            </w:r>
            <w:proofErr w:type="spellEnd"/>
          </w:p>
        </w:tc>
      </w:tr>
      <w:tr w:rsidR="00C22222" w:rsidTr="00C22222">
        <w:tc>
          <w:tcPr>
            <w:tcW w:w="3192" w:type="dxa"/>
          </w:tcPr>
          <w:p w:rsidR="00C22222" w:rsidRDefault="00C22222" w:rsidP="00C22222">
            <w:pPr>
              <w:pStyle w:val="NormalWeb"/>
              <w:spacing w:before="0" w:beforeAutospacing="0" w:after="0" w:afterAutospacing="0"/>
              <w:rPr>
                <w:color w:val="000000"/>
              </w:rPr>
            </w:pPr>
            <w:r>
              <w:rPr>
                <w:color w:val="000000"/>
              </w:rPr>
              <w:t>Test out</w:t>
            </w:r>
            <w:r w:rsidR="00FD3252">
              <w:rPr>
                <w:color w:val="000000"/>
              </w:rPr>
              <w:t xml:space="preserve"> (READ 100)</w:t>
            </w:r>
          </w:p>
          <w:p w:rsidR="00FD3252" w:rsidRDefault="00FD3252" w:rsidP="00C22222">
            <w:pPr>
              <w:pStyle w:val="NormalWeb"/>
              <w:spacing w:before="0" w:beforeAutospacing="0" w:after="0" w:afterAutospacing="0"/>
              <w:rPr>
                <w:color w:val="000000"/>
              </w:rPr>
            </w:pPr>
            <w:r>
              <w:rPr>
                <w:color w:val="000000"/>
              </w:rPr>
              <w:t>*Eligibility meets graduation reading competency for local degree</w:t>
            </w:r>
          </w:p>
        </w:tc>
        <w:tc>
          <w:tcPr>
            <w:tcW w:w="3192" w:type="dxa"/>
          </w:tcPr>
          <w:p w:rsidR="00C22222" w:rsidRDefault="00C22222" w:rsidP="00C22222">
            <w:pPr>
              <w:pStyle w:val="NormalWeb"/>
              <w:spacing w:before="0" w:beforeAutospacing="0" w:after="0" w:afterAutospacing="0"/>
              <w:rPr>
                <w:color w:val="000000"/>
              </w:rPr>
            </w:pPr>
            <w:r>
              <w:rPr>
                <w:color w:val="000000"/>
              </w:rPr>
              <w:t>High school 11</w:t>
            </w:r>
            <w:r w:rsidRPr="00C22222">
              <w:rPr>
                <w:color w:val="000000"/>
                <w:vertAlign w:val="superscript"/>
              </w:rPr>
              <w:t>th</w:t>
            </w:r>
            <w:r>
              <w:rPr>
                <w:color w:val="000000"/>
              </w:rPr>
              <w:t xml:space="preserve"> grade cumulative GPA of 2.7 or better AND High school 11</w:t>
            </w:r>
            <w:r w:rsidRPr="00C22222">
              <w:rPr>
                <w:color w:val="000000"/>
                <w:vertAlign w:val="superscript"/>
              </w:rPr>
              <w:t>th</w:t>
            </w:r>
            <w:r>
              <w:rPr>
                <w:color w:val="000000"/>
              </w:rPr>
              <w:t xml:space="preserve"> grade English course grade of B or better</w:t>
            </w:r>
          </w:p>
        </w:tc>
        <w:tc>
          <w:tcPr>
            <w:tcW w:w="3192" w:type="dxa"/>
          </w:tcPr>
          <w:p w:rsidR="00C22222" w:rsidRDefault="00FD3252" w:rsidP="00C22222">
            <w:pPr>
              <w:pStyle w:val="NormalWeb"/>
              <w:spacing w:before="0" w:beforeAutospacing="0" w:after="0" w:afterAutospacing="0"/>
              <w:rPr>
                <w:color w:val="000000"/>
              </w:rPr>
            </w:pPr>
            <w:r>
              <w:rPr>
                <w:color w:val="000000"/>
              </w:rPr>
              <w:t>High school 12</w:t>
            </w:r>
            <w:r w:rsidRPr="00FD3252">
              <w:rPr>
                <w:color w:val="000000"/>
                <w:vertAlign w:val="superscript"/>
              </w:rPr>
              <w:t>th</w:t>
            </w:r>
            <w:r>
              <w:rPr>
                <w:color w:val="000000"/>
              </w:rPr>
              <w:t xml:space="preserve"> grade cumulative GPA of 3.1 or better</w:t>
            </w:r>
          </w:p>
        </w:tc>
      </w:tr>
      <w:tr w:rsidR="00C22222" w:rsidTr="00C22222">
        <w:tc>
          <w:tcPr>
            <w:tcW w:w="3192" w:type="dxa"/>
          </w:tcPr>
          <w:p w:rsidR="00C22222" w:rsidRDefault="00C22222" w:rsidP="00C22222">
            <w:pPr>
              <w:pStyle w:val="NormalWeb"/>
              <w:spacing w:before="0" w:beforeAutospacing="0" w:after="0" w:afterAutospacing="0"/>
              <w:rPr>
                <w:color w:val="000000"/>
              </w:rPr>
            </w:pPr>
            <w:r>
              <w:rPr>
                <w:color w:val="000000"/>
              </w:rPr>
              <w:t>Transfer-level</w:t>
            </w:r>
            <w:r w:rsidR="00FD3252">
              <w:rPr>
                <w:color w:val="000000"/>
              </w:rPr>
              <w:t xml:space="preserve"> (READ 90)</w:t>
            </w:r>
          </w:p>
          <w:p w:rsidR="00FD3252" w:rsidRDefault="00FD3252" w:rsidP="00C22222">
            <w:pPr>
              <w:pStyle w:val="NormalWeb"/>
              <w:spacing w:before="0" w:beforeAutospacing="0" w:after="0" w:afterAutospacing="0"/>
              <w:rPr>
                <w:color w:val="000000"/>
              </w:rPr>
            </w:pPr>
            <w:r>
              <w:rPr>
                <w:color w:val="000000"/>
              </w:rPr>
              <w:t>*Grade of C or higher meets graduation competency for local degree</w:t>
            </w:r>
          </w:p>
        </w:tc>
        <w:tc>
          <w:tcPr>
            <w:tcW w:w="3192" w:type="dxa"/>
          </w:tcPr>
          <w:p w:rsidR="00C22222" w:rsidRDefault="00C22222" w:rsidP="00C22222">
            <w:pPr>
              <w:pStyle w:val="NormalWeb"/>
              <w:spacing w:before="0" w:beforeAutospacing="0" w:after="0" w:afterAutospacing="0"/>
              <w:rPr>
                <w:color w:val="000000"/>
              </w:rPr>
            </w:pPr>
            <w:r>
              <w:rPr>
                <w:color w:val="000000"/>
              </w:rPr>
              <w:t>High school 11</w:t>
            </w:r>
            <w:r w:rsidRPr="00C22222">
              <w:rPr>
                <w:color w:val="000000"/>
                <w:vertAlign w:val="superscript"/>
              </w:rPr>
              <w:t>th</w:t>
            </w:r>
            <w:r>
              <w:rPr>
                <w:color w:val="000000"/>
              </w:rPr>
              <w:t xml:space="preserve"> grade cumulative GPA of 2.7 or better</w:t>
            </w:r>
          </w:p>
        </w:tc>
        <w:tc>
          <w:tcPr>
            <w:tcW w:w="3192" w:type="dxa"/>
          </w:tcPr>
          <w:p w:rsidR="00C22222" w:rsidRDefault="00FD3252" w:rsidP="00C22222">
            <w:pPr>
              <w:pStyle w:val="NormalWeb"/>
              <w:spacing w:before="0" w:beforeAutospacing="0" w:after="0" w:afterAutospacing="0"/>
              <w:rPr>
                <w:color w:val="000000"/>
              </w:rPr>
            </w:pPr>
            <w:r>
              <w:rPr>
                <w:color w:val="000000"/>
              </w:rPr>
              <w:t>High school 12</w:t>
            </w:r>
            <w:r w:rsidRPr="00FD3252">
              <w:rPr>
                <w:color w:val="000000"/>
                <w:vertAlign w:val="superscript"/>
              </w:rPr>
              <w:t>th</w:t>
            </w:r>
            <w:r>
              <w:rPr>
                <w:color w:val="000000"/>
              </w:rPr>
              <w:t xml:space="preserve"> grade cumulative GPA of 2.8 or better</w:t>
            </w:r>
          </w:p>
          <w:p w:rsidR="00FD3252" w:rsidRDefault="00FD3252" w:rsidP="00C22222">
            <w:pPr>
              <w:pStyle w:val="NormalWeb"/>
              <w:spacing w:before="0" w:beforeAutospacing="0" w:after="0" w:afterAutospacing="0"/>
              <w:rPr>
                <w:color w:val="000000"/>
              </w:rPr>
            </w:pPr>
          </w:p>
          <w:p w:rsidR="00FD3252" w:rsidRDefault="00FD3252" w:rsidP="00C22222">
            <w:pPr>
              <w:pStyle w:val="NormalWeb"/>
              <w:spacing w:before="0" w:beforeAutospacing="0" w:after="0" w:afterAutospacing="0"/>
              <w:rPr>
                <w:color w:val="000000"/>
              </w:rPr>
            </w:pPr>
          </w:p>
        </w:tc>
      </w:tr>
      <w:tr w:rsidR="00C22222" w:rsidTr="00C22222">
        <w:tc>
          <w:tcPr>
            <w:tcW w:w="3192" w:type="dxa"/>
          </w:tcPr>
          <w:p w:rsidR="00C22222" w:rsidRDefault="00FD3252" w:rsidP="00C22222">
            <w:pPr>
              <w:pStyle w:val="NormalWeb"/>
              <w:spacing w:before="0" w:beforeAutospacing="0" w:after="0" w:afterAutospacing="0"/>
              <w:rPr>
                <w:color w:val="000000"/>
              </w:rPr>
            </w:pPr>
            <w:r>
              <w:rPr>
                <w:color w:val="000000"/>
              </w:rPr>
              <w:t>One-level below (READ 85)</w:t>
            </w:r>
          </w:p>
        </w:tc>
        <w:tc>
          <w:tcPr>
            <w:tcW w:w="3192" w:type="dxa"/>
          </w:tcPr>
          <w:p w:rsidR="00C22222" w:rsidRDefault="00FD3252" w:rsidP="00C22222">
            <w:pPr>
              <w:pStyle w:val="NormalWeb"/>
              <w:spacing w:before="0" w:beforeAutospacing="0" w:after="0" w:afterAutospacing="0"/>
              <w:rPr>
                <w:color w:val="000000"/>
              </w:rPr>
            </w:pPr>
            <w:r>
              <w:rPr>
                <w:color w:val="000000"/>
              </w:rPr>
              <w:t>Everyone else</w:t>
            </w:r>
          </w:p>
        </w:tc>
        <w:tc>
          <w:tcPr>
            <w:tcW w:w="3192" w:type="dxa"/>
          </w:tcPr>
          <w:p w:rsidR="00C22222" w:rsidRDefault="00FD3252" w:rsidP="00C22222">
            <w:pPr>
              <w:pStyle w:val="NormalWeb"/>
              <w:spacing w:before="0" w:beforeAutospacing="0" w:after="0" w:afterAutospacing="0"/>
              <w:rPr>
                <w:color w:val="000000"/>
              </w:rPr>
            </w:pPr>
            <w:r>
              <w:rPr>
                <w:color w:val="000000"/>
              </w:rPr>
              <w:t>Everyone else</w:t>
            </w:r>
          </w:p>
          <w:p w:rsidR="00FD3252" w:rsidRDefault="00FD3252" w:rsidP="00C22222">
            <w:pPr>
              <w:pStyle w:val="NormalWeb"/>
              <w:spacing w:before="0" w:beforeAutospacing="0" w:after="0" w:afterAutospacing="0"/>
              <w:rPr>
                <w:color w:val="000000"/>
              </w:rPr>
            </w:pPr>
          </w:p>
          <w:p w:rsidR="00FD3252" w:rsidRDefault="00FD3252" w:rsidP="00C22222">
            <w:pPr>
              <w:pStyle w:val="NormalWeb"/>
              <w:spacing w:before="0" w:beforeAutospacing="0" w:after="0" w:afterAutospacing="0"/>
              <w:rPr>
                <w:color w:val="000000"/>
              </w:rPr>
            </w:pPr>
          </w:p>
          <w:p w:rsidR="00FD3252" w:rsidRDefault="00FD3252" w:rsidP="00C22222">
            <w:pPr>
              <w:pStyle w:val="NormalWeb"/>
              <w:spacing w:before="0" w:beforeAutospacing="0" w:after="0" w:afterAutospacing="0"/>
              <w:rPr>
                <w:color w:val="000000"/>
              </w:rPr>
            </w:pPr>
          </w:p>
          <w:p w:rsidR="00FD3252" w:rsidRDefault="00FD3252" w:rsidP="00C22222">
            <w:pPr>
              <w:pStyle w:val="NormalWeb"/>
              <w:spacing w:before="0" w:beforeAutospacing="0" w:after="0" w:afterAutospacing="0"/>
              <w:rPr>
                <w:color w:val="000000"/>
              </w:rPr>
            </w:pPr>
          </w:p>
        </w:tc>
      </w:tr>
    </w:tbl>
    <w:p w:rsidR="003777C6" w:rsidRDefault="003777C6" w:rsidP="003777C6">
      <w:pPr>
        <w:pStyle w:val="NormalWeb"/>
        <w:shd w:val="clear" w:color="auto" w:fill="FFFFFF"/>
        <w:spacing w:before="0" w:beforeAutospacing="0" w:after="0" w:afterAutospacing="0"/>
        <w:rPr>
          <w:color w:val="000000"/>
        </w:rPr>
      </w:pPr>
      <w:r>
        <w:rPr>
          <w:color w:val="000000"/>
        </w:rPr>
        <w:t>Notes:</w:t>
      </w:r>
    </w:p>
    <w:p w:rsidR="00C22222" w:rsidRDefault="003777C6" w:rsidP="003777C6">
      <w:pPr>
        <w:pStyle w:val="NormalWeb"/>
        <w:numPr>
          <w:ilvl w:val="0"/>
          <w:numId w:val="1"/>
        </w:numPr>
        <w:shd w:val="clear" w:color="auto" w:fill="FFFFFF"/>
        <w:spacing w:before="0" w:beforeAutospacing="0" w:after="0" w:afterAutospacing="0"/>
        <w:rPr>
          <w:color w:val="000000"/>
        </w:rPr>
      </w:pPr>
      <w:r>
        <w:rPr>
          <w:color w:val="000000"/>
        </w:rPr>
        <w:t>Special admit and dual enrollment students will be given the same placements and recommendations as high school graduates.</w:t>
      </w:r>
    </w:p>
    <w:p w:rsidR="003777C6" w:rsidRDefault="003777C6" w:rsidP="003777C6">
      <w:pPr>
        <w:pStyle w:val="NormalWeb"/>
        <w:numPr>
          <w:ilvl w:val="0"/>
          <w:numId w:val="1"/>
        </w:numPr>
        <w:shd w:val="clear" w:color="auto" w:fill="FFFFFF"/>
        <w:spacing w:before="0" w:beforeAutospacing="0" w:after="0" w:afterAutospacing="0"/>
        <w:rPr>
          <w:color w:val="000000"/>
        </w:rPr>
      </w:pPr>
      <w:r>
        <w:rPr>
          <w:color w:val="000000"/>
        </w:rPr>
        <w:t>Students with Adult High School Diploma or High School Equivalency will be given the same placements as high school graduates. If not, they will be advised to visit Learning Assistance Department Chair or a counselor.</w:t>
      </w:r>
    </w:p>
    <w:p w:rsidR="003777C6" w:rsidRDefault="003777C6" w:rsidP="003777C6">
      <w:pPr>
        <w:pStyle w:val="NormalWeb"/>
        <w:numPr>
          <w:ilvl w:val="0"/>
          <w:numId w:val="1"/>
        </w:numPr>
        <w:shd w:val="clear" w:color="auto" w:fill="FFFFFF"/>
        <w:spacing w:before="0" w:beforeAutospacing="0" w:after="0" w:afterAutospacing="0"/>
        <w:rPr>
          <w:color w:val="000000"/>
        </w:rPr>
      </w:pPr>
      <w:r>
        <w:rPr>
          <w:color w:val="000000"/>
        </w:rPr>
        <w:t>International students without US high school transcripts would see the Learning Assistance Department Chair or a counselor.</w:t>
      </w:r>
    </w:p>
    <w:p w:rsidR="00C84A54" w:rsidRPr="00C22222" w:rsidRDefault="003777C6">
      <w:pPr>
        <w:rPr>
          <w:rFonts w:ascii="Times New Roman" w:hAnsi="Times New Roman" w:cs="Times New Roman"/>
        </w:rPr>
      </w:pPr>
    </w:p>
    <w:sectPr w:rsidR="00C84A54" w:rsidRPr="00C22222" w:rsidSect="003777C6">
      <w:pgSz w:w="12240" w:h="15840"/>
      <w:pgMar w:top="36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664DA"/>
    <w:multiLevelType w:val="hybridMultilevel"/>
    <w:tmpl w:val="8F647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22"/>
    <w:rsid w:val="003777C6"/>
    <w:rsid w:val="00596704"/>
    <w:rsid w:val="0064436F"/>
    <w:rsid w:val="00B10587"/>
    <w:rsid w:val="00B30F9A"/>
    <w:rsid w:val="00C22222"/>
    <w:rsid w:val="00EA1BD2"/>
    <w:rsid w:val="00FD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F54E"/>
  <w15:chartTrackingRefBased/>
  <w15:docId w15:val="{95BB128C-E4A4-4111-91BE-0974CA68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C22222"/>
  </w:style>
  <w:style w:type="table" w:styleId="TableGrid">
    <w:name w:val="Table Grid"/>
    <w:basedOn w:val="TableNormal"/>
    <w:uiPriority w:val="59"/>
    <w:rsid w:val="00C2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7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4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Rowley, Dianne</dc:creator>
  <cp:keywords/>
  <dc:description/>
  <cp:lastModifiedBy>Rowley, Dianne</cp:lastModifiedBy>
  <cp:revision>2</cp:revision>
  <cp:lastPrinted>2018-09-12T21:15:00Z</cp:lastPrinted>
  <dcterms:created xsi:type="dcterms:W3CDTF">2018-09-12T20:53:00Z</dcterms:created>
  <dcterms:modified xsi:type="dcterms:W3CDTF">2018-09-12T23:24:00Z</dcterms:modified>
</cp:coreProperties>
</file>