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6" w:rsidRPr="00506B98" w:rsidRDefault="00C227AD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PRESIDENT’S ADVISORY COUNCIL</w:t>
      </w:r>
    </w:p>
    <w:p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(Governance Committee – Reports to College President</w:t>
      </w:r>
      <w:r w:rsidR="004555F8">
        <w:rPr>
          <w:sz w:val="22"/>
          <w:szCs w:val="22"/>
        </w:rPr>
        <w:t>)</w:t>
      </w:r>
    </w:p>
    <w:p w:rsidR="00F31566" w:rsidRPr="00506B98" w:rsidRDefault="00F31566">
      <w:pPr>
        <w:rPr>
          <w:sz w:val="22"/>
          <w:szCs w:val="22"/>
          <w:u w:val="single"/>
        </w:rPr>
      </w:pPr>
    </w:p>
    <w:p w:rsidR="00454166" w:rsidRPr="00506B98" w:rsidRDefault="00454166">
      <w:pPr>
        <w:rPr>
          <w:sz w:val="22"/>
          <w:szCs w:val="22"/>
        </w:rPr>
      </w:pPr>
      <w:r w:rsidRPr="00506B98">
        <w:rPr>
          <w:sz w:val="22"/>
          <w:szCs w:val="22"/>
          <w:u w:val="single"/>
        </w:rPr>
        <w:t>Purpose</w:t>
      </w:r>
    </w:p>
    <w:p w:rsidR="00454166" w:rsidRPr="00506B98" w:rsidRDefault="00454166" w:rsidP="00087CA9">
      <w:pPr>
        <w:jc w:val="both"/>
        <w:rPr>
          <w:sz w:val="22"/>
          <w:szCs w:val="22"/>
        </w:rPr>
      </w:pPr>
    </w:p>
    <w:p w:rsidR="00C227AD" w:rsidRPr="00605DC6" w:rsidRDefault="00C227AD" w:rsidP="00087CA9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ensure the long-term stability and success of the institution, the President’s Advisory Council is the primary planning body for the College and provides a forum to review and recommend the direction and focus for the College consistent with the College’s Mission, Vision, and Core Values directly advising the College President on policy and governance.</w:t>
      </w:r>
    </w:p>
    <w:p w:rsidR="00896907" w:rsidRPr="00506B98" w:rsidRDefault="00896907" w:rsidP="00087CA9">
      <w:pPr>
        <w:jc w:val="both"/>
        <w:rPr>
          <w:sz w:val="22"/>
          <w:szCs w:val="22"/>
        </w:rPr>
      </w:pPr>
    </w:p>
    <w:p w:rsidR="00454166" w:rsidRPr="00506B98" w:rsidRDefault="00454166" w:rsidP="00087CA9">
      <w:pPr>
        <w:jc w:val="both"/>
        <w:rPr>
          <w:sz w:val="22"/>
          <w:szCs w:val="22"/>
        </w:rPr>
      </w:pPr>
      <w:r w:rsidRPr="00506B98">
        <w:rPr>
          <w:sz w:val="22"/>
          <w:szCs w:val="22"/>
          <w:u w:val="single"/>
        </w:rPr>
        <w:t>Function</w:t>
      </w:r>
    </w:p>
    <w:p w:rsidR="00454166" w:rsidRPr="00506B98" w:rsidRDefault="00454166" w:rsidP="00087CA9">
      <w:pPr>
        <w:jc w:val="both"/>
        <w:rPr>
          <w:sz w:val="22"/>
          <w:szCs w:val="22"/>
        </w:rPr>
      </w:pP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periodically review and revise the College’s Mission, Vision, and Core Values.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revise and recommend goals for the College.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ensure that the various planning processes are coordinated and consistent with the established direction and focus of the College.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periodically evaluate the College governance procedure and structure.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participate in the development of recommended College priorities.</w:t>
      </w:r>
    </w:p>
    <w:p w:rsidR="00C227AD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Evaluate the work of the governance committees and the College using an ongoing and systematic cycle of evaluation, integrated planning, resource allocation, and implem</w:t>
      </w:r>
      <w:r>
        <w:rPr>
          <w:rFonts w:cs="Arial"/>
          <w:spacing w:val="-3"/>
          <w:sz w:val="22"/>
          <w:szCs w:val="22"/>
        </w:rPr>
        <w:t>entation (ACCJC Standard I.B.3)</w:t>
      </w:r>
      <w:r w:rsidRPr="00605DC6">
        <w:rPr>
          <w:rFonts w:cs="Arial"/>
          <w:spacing w:val="-3"/>
          <w:sz w:val="22"/>
          <w:szCs w:val="22"/>
        </w:rPr>
        <w:t xml:space="preserve"> including the ongoing evaluation of process for planning, budgeting, and accreditation.</w:t>
      </w:r>
    </w:p>
    <w:p w:rsidR="00454166" w:rsidRPr="00506B98" w:rsidRDefault="00454166">
      <w:pPr>
        <w:rPr>
          <w:sz w:val="22"/>
          <w:szCs w:val="22"/>
        </w:rPr>
      </w:pPr>
    </w:p>
    <w:p w:rsidR="00454166" w:rsidRPr="004555F8" w:rsidRDefault="00454166">
      <w:pPr>
        <w:rPr>
          <w:sz w:val="22"/>
          <w:szCs w:val="22"/>
          <w:u w:val="single"/>
        </w:rPr>
      </w:pPr>
      <w:r w:rsidRPr="004555F8">
        <w:rPr>
          <w:sz w:val="22"/>
          <w:szCs w:val="22"/>
          <w:u w:val="single"/>
        </w:rPr>
        <w:t>Membership (</w:t>
      </w:r>
      <w:r w:rsidR="00E85649" w:rsidRPr="004555F8">
        <w:rPr>
          <w:sz w:val="22"/>
          <w:szCs w:val="22"/>
          <w:u w:val="single"/>
        </w:rPr>
        <w:t>1</w:t>
      </w:r>
      <w:r w:rsidR="00C227AD">
        <w:rPr>
          <w:sz w:val="22"/>
          <w:szCs w:val="22"/>
          <w:u w:val="single"/>
        </w:rPr>
        <w:t>7</w:t>
      </w:r>
      <w:r w:rsidR="00506B98" w:rsidRPr="004555F8">
        <w:rPr>
          <w:sz w:val="22"/>
          <w:szCs w:val="22"/>
          <w:u w:val="single"/>
        </w:rPr>
        <w:t>)</w:t>
      </w:r>
    </w:p>
    <w:p w:rsidR="004C7546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4555F8" w:rsidTr="00AC60D7">
        <w:tc>
          <w:tcPr>
            <w:tcW w:w="522" w:type="dxa"/>
          </w:tcPr>
          <w:p w:rsidR="004555F8" w:rsidRDefault="004555F8">
            <w:pPr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:rsidR="004555F8" w:rsidRPr="004555F8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</w:tcPr>
          <w:p w:rsidR="004555F8" w:rsidRPr="004555F8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4555F8" w:rsidRPr="004555F8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Term</w:t>
            </w:r>
          </w:p>
        </w:tc>
      </w:tr>
      <w:tr w:rsidR="00506B98" w:rsidTr="00AC60D7">
        <w:tc>
          <w:tcPr>
            <w:tcW w:w="522" w:type="dxa"/>
          </w:tcPr>
          <w:p w:rsidR="00506B98" w:rsidRDefault="00506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506B98" w:rsidRDefault="00C22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President (Chair)</w:t>
            </w:r>
          </w:p>
        </w:tc>
        <w:tc>
          <w:tcPr>
            <w:tcW w:w="3171" w:type="dxa"/>
          </w:tcPr>
          <w:p w:rsidR="00506B98" w:rsidRDefault="00C227AD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Scroggins</w:t>
            </w:r>
          </w:p>
        </w:tc>
        <w:tc>
          <w:tcPr>
            <w:tcW w:w="1048" w:type="dxa"/>
          </w:tcPr>
          <w:p w:rsidR="00506B98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27AD">
              <w:rPr>
                <w:sz w:val="22"/>
                <w:szCs w:val="22"/>
              </w:rPr>
              <w:t>ngoing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5" w:type="dxa"/>
            <w:vMerge w:val="restart"/>
          </w:tcPr>
          <w:p w:rsidR="00E126E6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</w:t>
            </w:r>
            <w:r w:rsidR="00E126E6">
              <w:rPr>
                <w:sz w:val="22"/>
                <w:szCs w:val="22"/>
              </w:rPr>
              <w:t xml:space="preserve"> </w:t>
            </w:r>
            <w:r w:rsidR="00283031">
              <w:rPr>
                <w:sz w:val="22"/>
                <w:szCs w:val="22"/>
              </w:rPr>
              <w:t xml:space="preserve">(appointed by </w:t>
            </w:r>
            <w:r w:rsidR="00E126E6">
              <w:rPr>
                <w:sz w:val="22"/>
                <w:szCs w:val="22"/>
              </w:rPr>
              <w:t>College President)</w:t>
            </w:r>
          </w:p>
        </w:tc>
        <w:tc>
          <w:tcPr>
            <w:tcW w:w="3171" w:type="dxa"/>
          </w:tcPr>
          <w:p w:rsidR="00E126E6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Gary </w:t>
            </w:r>
            <w:proofErr w:type="spellStart"/>
            <w:r>
              <w:rPr>
                <w:sz w:val="22"/>
                <w:szCs w:val="22"/>
              </w:rPr>
              <w:t>Nellesen</w:t>
            </w:r>
            <w:proofErr w:type="spellEnd"/>
          </w:p>
        </w:tc>
        <w:tc>
          <w:tcPr>
            <w:tcW w:w="1048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2015-1</w:t>
            </w:r>
            <w:r w:rsidR="00F66569" w:rsidRPr="00087CA9">
              <w:rPr>
                <w:sz w:val="22"/>
                <w:szCs w:val="22"/>
              </w:rPr>
              <w:t>8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Bradshaw</w:t>
            </w:r>
          </w:p>
        </w:tc>
        <w:tc>
          <w:tcPr>
            <w:tcW w:w="1048" w:type="dxa"/>
          </w:tcPr>
          <w:p w:rsidR="00E126E6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2013-16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Jemma Blake Judd</w:t>
            </w:r>
          </w:p>
        </w:tc>
        <w:tc>
          <w:tcPr>
            <w:tcW w:w="1048" w:type="dxa"/>
          </w:tcPr>
          <w:p w:rsidR="00E126E6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2014-17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:rsidR="00E126E6" w:rsidRPr="00506B98" w:rsidRDefault="00087CA9" w:rsidP="00C227AD">
            <w:pPr>
              <w:tabs>
                <w:tab w:val="left" w:pos="3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E126E6">
              <w:rPr>
                <w:sz w:val="22"/>
                <w:szCs w:val="22"/>
              </w:rPr>
              <w:t>(appointed by Academic Senate)</w:t>
            </w:r>
          </w:p>
        </w:tc>
        <w:tc>
          <w:tcPr>
            <w:tcW w:w="3171" w:type="dxa"/>
          </w:tcPr>
          <w:p w:rsidR="00E126E6" w:rsidRPr="00C227AD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Smith</w:t>
            </w:r>
          </w:p>
        </w:tc>
        <w:tc>
          <w:tcPr>
            <w:tcW w:w="1048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2015-18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 w:rsidP="00C22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:rsidR="00E126E6" w:rsidRPr="00C227AD" w:rsidRDefault="00E126E6" w:rsidP="00C227AD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Pr="00087CA9" w:rsidRDefault="00E126E6" w:rsidP="00C227AD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 xml:space="preserve">Michelle </w:t>
            </w:r>
            <w:proofErr w:type="spellStart"/>
            <w:r w:rsidRPr="00087CA9">
              <w:rPr>
                <w:sz w:val="22"/>
                <w:szCs w:val="22"/>
              </w:rPr>
              <w:t>Sampat</w:t>
            </w:r>
            <w:proofErr w:type="spellEnd"/>
          </w:p>
        </w:tc>
        <w:tc>
          <w:tcPr>
            <w:tcW w:w="1048" w:type="dxa"/>
          </w:tcPr>
          <w:p w:rsidR="00E126E6" w:rsidRDefault="00E126E6" w:rsidP="00C227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2013-16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:rsidR="00E126E6" w:rsidRPr="00C227AD" w:rsidRDefault="00E126E6" w:rsidP="00C227AD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Pr="00506B98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Archibald</w:t>
            </w:r>
          </w:p>
        </w:tc>
        <w:tc>
          <w:tcPr>
            <w:tcW w:w="1048" w:type="dxa"/>
          </w:tcPr>
          <w:p w:rsidR="00E126E6" w:rsidRPr="00506B98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2014-17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</w:tcPr>
          <w:p w:rsidR="00E126E6" w:rsidRDefault="00E126E6" w:rsidP="00C227AD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Pr="00C227AD" w:rsidRDefault="00E126E6" w:rsidP="00506B98">
            <w:pPr>
              <w:jc w:val="right"/>
              <w:rPr>
                <w:sz w:val="22"/>
                <w:szCs w:val="22"/>
              </w:rPr>
            </w:pPr>
            <w:r w:rsidRPr="00C227AD">
              <w:rPr>
                <w:sz w:val="22"/>
                <w:szCs w:val="22"/>
              </w:rPr>
              <w:t xml:space="preserve">Eric </w:t>
            </w:r>
            <w:proofErr w:type="spellStart"/>
            <w:r w:rsidRPr="00C227AD">
              <w:rPr>
                <w:sz w:val="22"/>
                <w:szCs w:val="22"/>
              </w:rPr>
              <w:t>Kaljumagi</w:t>
            </w:r>
            <w:proofErr w:type="spellEnd"/>
          </w:p>
        </w:tc>
        <w:tc>
          <w:tcPr>
            <w:tcW w:w="1048" w:type="dxa"/>
          </w:tcPr>
          <w:p w:rsidR="00E126E6" w:rsidRPr="00C227AD" w:rsidRDefault="00E126E6" w:rsidP="00506B98">
            <w:pPr>
              <w:jc w:val="right"/>
              <w:rPr>
                <w:sz w:val="22"/>
                <w:szCs w:val="22"/>
              </w:rPr>
            </w:pPr>
            <w:r w:rsidRPr="00C227AD">
              <w:rPr>
                <w:sz w:val="22"/>
                <w:szCs w:val="22"/>
              </w:rPr>
              <w:t>2013-16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Pr="00C227AD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Garrett</w:t>
            </w:r>
          </w:p>
        </w:tc>
        <w:tc>
          <w:tcPr>
            <w:tcW w:w="1048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2015-18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5" w:type="dxa"/>
            <w:vMerge w:val="restart"/>
          </w:tcPr>
          <w:p w:rsidR="00E126E6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E126E6">
              <w:rPr>
                <w:sz w:val="22"/>
                <w:szCs w:val="22"/>
              </w:rPr>
              <w:t>(appointed by Faculty Association)</w:t>
            </w:r>
          </w:p>
        </w:tc>
        <w:tc>
          <w:tcPr>
            <w:tcW w:w="3171" w:type="dxa"/>
          </w:tcPr>
          <w:p w:rsidR="00E126E6" w:rsidRPr="00EA1FBC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Lance Heard</w:t>
            </w:r>
          </w:p>
        </w:tc>
        <w:tc>
          <w:tcPr>
            <w:tcW w:w="1048" w:type="dxa"/>
          </w:tcPr>
          <w:p w:rsidR="00E126E6" w:rsidRPr="00EA1FBC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2013-16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 xml:space="preserve">Joan </w:t>
            </w:r>
            <w:proofErr w:type="spellStart"/>
            <w:r w:rsidRPr="00087CA9">
              <w:rPr>
                <w:sz w:val="22"/>
                <w:szCs w:val="22"/>
              </w:rPr>
              <w:t>Sholars</w:t>
            </w:r>
            <w:proofErr w:type="spellEnd"/>
          </w:p>
        </w:tc>
        <w:tc>
          <w:tcPr>
            <w:tcW w:w="1048" w:type="dxa"/>
          </w:tcPr>
          <w:p w:rsidR="00E126E6" w:rsidRPr="00EA1FBC" w:rsidRDefault="00E126E6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2014-17</w:t>
            </w:r>
          </w:p>
        </w:tc>
      </w:tr>
      <w:tr w:rsidR="00EA1FBC" w:rsidTr="00AC60D7">
        <w:tc>
          <w:tcPr>
            <w:tcW w:w="522" w:type="dxa"/>
          </w:tcPr>
          <w:p w:rsidR="00EA1FBC" w:rsidRDefault="00AC6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5" w:type="dxa"/>
          </w:tcPr>
          <w:p w:rsidR="00EA1FBC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Classified </w:t>
            </w:r>
            <w:r w:rsidR="00AC60D7">
              <w:rPr>
                <w:sz w:val="22"/>
                <w:szCs w:val="22"/>
              </w:rPr>
              <w:t>(appointed by CSEA 262)</w:t>
            </w:r>
          </w:p>
        </w:tc>
        <w:tc>
          <w:tcPr>
            <w:tcW w:w="3171" w:type="dxa"/>
          </w:tcPr>
          <w:p w:rsidR="00EA1FBC" w:rsidRPr="00087CA9" w:rsidRDefault="00AC60D7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Bill Rawlings</w:t>
            </w:r>
          </w:p>
        </w:tc>
        <w:tc>
          <w:tcPr>
            <w:tcW w:w="1048" w:type="dxa"/>
          </w:tcPr>
          <w:p w:rsidR="00AC60D7" w:rsidRPr="00087CA9" w:rsidRDefault="00AC60D7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2015-18</w:t>
            </w:r>
          </w:p>
        </w:tc>
      </w:tr>
      <w:tr w:rsidR="00EA1FBC" w:rsidTr="00AC60D7">
        <w:tc>
          <w:tcPr>
            <w:tcW w:w="522" w:type="dxa"/>
          </w:tcPr>
          <w:p w:rsidR="00EA1FBC" w:rsidRDefault="00AC6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5" w:type="dxa"/>
          </w:tcPr>
          <w:p w:rsidR="00EA1FBC" w:rsidRPr="00EA1FBC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Classified</w:t>
            </w:r>
            <w:r w:rsidR="00AC60D7">
              <w:rPr>
                <w:sz w:val="22"/>
                <w:szCs w:val="22"/>
              </w:rPr>
              <w:t xml:space="preserve"> (appointed by CSEA 651)</w:t>
            </w:r>
          </w:p>
        </w:tc>
        <w:tc>
          <w:tcPr>
            <w:tcW w:w="3171" w:type="dxa"/>
          </w:tcPr>
          <w:p w:rsidR="00EA1FBC" w:rsidRPr="00EA1FBC" w:rsidRDefault="00AC60D7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Johnny Jauregui</w:t>
            </w:r>
          </w:p>
        </w:tc>
        <w:tc>
          <w:tcPr>
            <w:tcW w:w="1048" w:type="dxa"/>
          </w:tcPr>
          <w:p w:rsidR="00EA1FBC" w:rsidRPr="00EA1FBC" w:rsidRDefault="00AC60D7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2014-17</w:t>
            </w:r>
          </w:p>
        </w:tc>
      </w:tr>
      <w:tr w:rsidR="00EA1FBC" w:rsidTr="00AC60D7">
        <w:tc>
          <w:tcPr>
            <w:tcW w:w="522" w:type="dxa"/>
          </w:tcPr>
          <w:p w:rsidR="00EA1FBC" w:rsidRDefault="00AC6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5" w:type="dxa"/>
          </w:tcPr>
          <w:p w:rsidR="00EA1FBC" w:rsidRPr="00EA1FBC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Classified</w:t>
            </w:r>
            <w:r w:rsidR="00AC60D7">
              <w:rPr>
                <w:sz w:val="22"/>
                <w:szCs w:val="22"/>
              </w:rPr>
              <w:t xml:space="preserve"> (appointed by Classified Senate)</w:t>
            </w:r>
          </w:p>
        </w:tc>
        <w:tc>
          <w:tcPr>
            <w:tcW w:w="3171" w:type="dxa"/>
          </w:tcPr>
          <w:p w:rsidR="00EA1FBC" w:rsidRPr="00AC60D7" w:rsidRDefault="00AC60D7" w:rsidP="00506B98">
            <w:pPr>
              <w:jc w:val="right"/>
              <w:rPr>
                <w:sz w:val="22"/>
                <w:szCs w:val="22"/>
              </w:rPr>
            </w:pPr>
            <w:proofErr w:type="spellStart"/>
            <w:r w:rsidRPr="00AC60D7">
              <w:rPr>
                <w:sz w:val="22"/>
                <w:szCs w:val="22"/>
              </w:rPr>
              <w:t>Marchelle</w:t>
            </w:r>
            <w:proofErr w:type="spellEnd"/>
            <w:r w:rsidRPr="00AC60D7">
              <w:rPr>
                <w:sz w:val="22"/>
                <w:szCs w:val="22"/>
              </w:rPr>
              <w:t xml:space="preserve"> </w:t>
            </w:r>
            <w:proofErr w:type="spellStart"/>
            <w:r w:rsidRPr="00AC60D7">
              <w:rPr>
                <w:sz w:val="22"/>
                <w:szCs w:val="22"/>
              </w:rPr>
              <w:t>Nairne-Proulx</w:t>
            </w:r>
            <w:proofErr w:type="spellEnd"/>
          </w:p>
        </w:tc>
        <w:tc>
          <w:tcPr>
            <w:tcW w:w="1048" w:type="dxa"/>
          </w:tcPr>
          <w:p w:rsidR="00EA1FBC" w:rsidRPr="00AC60D7" w:rsidRDefault="00AC60D7" w:rsidP="00506B98">
            <w:pPr>
              <w:jc w:val="right"/>
              <w:rPr>
                <w:sz w:val="22"/>
                <w:szCs w:val="22"/>
              </w:rPr>
            </w:pPr>
            <w:r w:rsidRPr="00AC60D7">
              <w:rPr>
                <w:sz w:val="22"/>
                <w:szCs w:val="22"/>
              </w:rPr>
              <w:t>2013-16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85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</w:t>
            </w:r>
          </w:p>
        </w:tc>
        <w:tc>
          <w:tcPr>
            <w:tcW w:w="3171" w:type="dxa"/>
          </w:tcPr>
          <w:p w:rsidR="00E126E6" w:rsidRPr="00E126E6" w:rsidRDefault="00E126E6" w:rsidP="00506B98">
            <w:pPr>
              <w:jc w:val="right"/>
              <w:rPr>
                <w:sz w:val="22"/>
                <w:szCs w:val="22"/>
              </w:rPr>
            </w:pPr>
            <w:r w:rsidRPr="00E126E6">
              <w:rPr>
                <w:sz w:val="22"/>
                <w:szCs w:val="22"/>
              </w:rPr>
              <w:t xml:space="preserve">Denise </w:t>
            </w:r>
            <w:proofErr w:type="spellStart"/>
            <w:r w:rsidRPr="00E126E6">
              <w:rPr>
                <w:sz w:val="22"/>
                <w:szCs w:val="22"/>
              </w:rPr>
              <w:t>Lindholm</w:t>
            </w:r>
            <w:proofErr w:type="spellEnd"/>
          </w:p>
        </w:tc>
        <w:tc>
          <w:tcPr>
            <w:tcW w:w="1048" w:type="dxa"/>
          </w:tcPr>
          <w:p w:rsidR="00E126E6" w:rsidRPr="00E126E6" w:rsidRDefault="00E126E6" w:rsidP="00506B98">
            <w:pPr>
              <w:jc w:val="right"/>
              <w:rPr>
                <w:sz w:val="22"/>
                <w:szCs w:val="22"/>
              </w:rPr>
            </w:pPr>
            <w:r w:rsidRPr="00E126E6">
              <w:rPr>
                <w:sz w:val="22"/>
                <w:szCs w:val="22"/>
              </w:rPr>
              <w:t>ongoing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85" w:type="dxa"/>
            <w:vMerge w:val="restart"/>
          </w:tcPr>
          <w:p w:rsidR="00E126E6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r w:rsidR="00E126E6">
              <w:rPr>
                <w:sz w:val="22"/>
                <w:szCs w:val="22"/>
              </w:rPr>
              <w:t>(appointed by the Associated Students President)</w:t>
            </w:r>
          </w:p>
        </w:tc>
        <w:tc>
          <w:tcPr>
            <w:tcW w:w="3171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Betty Santos</w:t>
            </w:r>
          </w:p>
        </w:tc>
        <w:tc>
          <w:tcPr>
            <w:tcW w:w="1048" w:type="dxa"/>
          </w:tcPr>
          <w:p w:rsidR="00E126E6" w:rsidRPr="00087CA9" w:rsidRDefault="00087CA9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2</w:t>
            </w:r>
            <w:r w:rsidR="00E126E6" w:rsidRPr="00087CA9">
              <w:rPr>
                <w:sz w:val="22"/>
                <w:szCs w:val="22"/>
              </w:rPr>
              <w:t>015-16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Rene Jimenez</w:t>
            </w:r>
          </w:p>
        </w:tc>
        <w:tc>
          <w:tcPr>
            <w:tcW w:w="1048" w:type="dxa"/>
          </w:tcPr>
          <w:p w:rsidR="00E126E6" w:rsidRPr="00087CA9" w:rsidRDefault="00E126E6" w:rsidP="00506B98">
            <w:pPr>
              <w:jc w:val="right"/>
              <w:rPr>
                <w:sz w:val="22"/>
                <w:szCs w:val="22"/>
              </w:rPr>
            </w:pPr>
            <w:r w:rsidRPr="00087CA9">
              <w:rPr>
                <w:sz w:val="22"/>
                <w:szCs w:val="22"/>
              </w:rPr>
              <w:t>2015-16</w:t>
            </w:r>
          </w:p>
        </w:tc>
      </w:tr>
    </w:tbl>
    <w:p w:rsidR="00087CA9" w:rsidRDefault="00087C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087CA9" w:rsidRDefault="00087CA9" w:rsidP="00087CA9">
      <w:r>
        <w:br w:type="page"/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bookmarkStart w:id="0" w:name="_GoBack"/>
      <w:bookmarkEnd w:id="0"/>
      <w:r w:rsidRPr="00506B98">
        <w:rPr>
          <w:rFonts w:cs="Arial"/>
          <w:spacing w:val="-3"/>
          <w:sz w:val="22"/>
          <w:szCs w:val="22"/>
        </w:rPr>
        <w:lastRenderedPageBreak/>
        <w:t>Membership Meeting Times: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506B98" w:rsidTr="005666D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5666D9" w:rsidTr="005666D9">
        <w:tc>
          <w:tcPr>
            <w:tcW w:w="973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Governance</w:t>
            </w:r>
          </w:p>
        </w:tc>
        <w:tc>
          <w:tcPr>
            <w:tcW w:w="775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5666D9">
              <w:rPr>
                <w:rFonts w:cs="Arial"/>
                <w:sz w:val="18"/>
                <w:szCs w:val="18"/>
              </w:rPr>
              <w:t>Bill Scroggins</w:t>
            </w:r>
          </w:p>
        </w:tc>
        <w:tc>
          <w:tcPr>
            <w:tcW w:w="1393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Second and Fourth Wednesday</w:t>
            </w:r>
          </w:p>
        </w:tc>
        <w:tc>
          <w:tcPr>
            <w:tcW w:w="1028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4-2440</w:t>
            </w:r>
          </w:p>
        </w:tc>
        <w:tc>
          <w:tcPr>
            <w:tcW w:w="831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3:00-4:30 p.m.</w:t>
            </w:r>
          </w:p>
        </w:tc>
      </w:tr>
    </w:tbl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>Person Responsible to Maintain Committee Website:</w:t>
      </w:r>
      <w:r w:rsidRPr="00506B98">
        <w:rPr>
          <w:rFonts w:cs="Arial"/>
          <w:spacing w:val="-3"/>
          <w:sz w:val="22"/>
          <w:szCs w:val="22"/>
        </w:rPr>
        <w:tab/>
      </w:r>
      <w:r w:rsidR="005666D9">
        <w:rPr>
          <w:rFonts w:cs="Arial"/>
          <w:spacing w:val="-3"/>
          <w:sz w:val="22"/>
          <w:szCs w:val="22"/>
        </w:rPr>
        <w:t>Carol Nelson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ab/>
      </w:r>
      <w:hyperlink r:id="rId8" w:history="1">
        <w:r w:rsidR="005666D9" w:rsidRPr="00E956D9">
          <w:rPr>
            <w:rStyle w:val="Hyperlink"/>
            <w:rFonts w:cs="Arial"/>
            <w:spacing w:val="-3"/>
            <w:sz w:val="22"/>
            <w:szCs w:val="22"/>
          </w:rPr>
          <w:t>cnelson@mtsac.edu</w:t>
        </w:r>
      </w:hyperlink>
      <w:r w:rsidR="005666D9">
        <w:rPr>
          <w:rFonts w:cs="Arial"/>
          <w:spacing w:val="-3"/>
          <w:sz w:val="22"/>
          <w:szCs w:val="22"/>
        </w:rPr>
        <w:t xml:space="preserve"> X5432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5666D9" w:rsidRDefault="008567A8" w:rsidP="00545413">
      <w:hyperlink r:id="rId9" w:history="1">
        <w:r w:rsidR="005666D9" w:rsidRPr="00E956D9">
          <w:rPr>
            <w:rStyle w:val="Hyperlink"/>
          </w:rPr>
          <w:t>http://www.mtsac.edu/governance/committees/pac/index.html</w:t>
        </w:r>
      </w:hyperlink>
    </w:p>
    <w:p w:rsidR="00B57FA9" w:rsidRPr="00B860D0" w:rsidRDefault="00545413" w:rsidP="00545413">
      <w:pPr>
        <w:rPr>
          <w:rFonts w:cs="Arial"/>
          <w:sz w:val="22"/>
          <w:szCs w:val="22"/>
        </w:rPr>
      </w:pPr>
      <w:r w:rsidRPr="00B860D0">
        <w:rPr>
          <w:rFonts w:cs="Arial"/>
          <w:sz w:val="22"/>
          <w:szCs w:val="22"/>
        </w:rPr>
        <w:t xml:space="preserve">Last updated: </w:t>
      </w:r>
      <w:r w:rsidR="005666D9">
        <w:rPr>
          <w:rFonts w:cs="Arial"/>
          <w:sz w:val="22"/>
          <w:szCs w:val="22"/>
        </w:rPr>
        <w:t xml:space="preserve"> September 9, 2015</w:t>
      </w:r>
    </w:p>
    <w:p w:rsidR="00506B98" w:rsidRPr="00506B98" w:rsidRDefault="00506B98" w:rsidP="00545413">
      <w:pPr>
        <w:rPr>
          <w:sz w:val="22"/>
          <w:szCs w:val="22"/>
        </w:rPr>
      </w:pPr>
    </w:p>
    <w:sectPr w:rsidR="00506B98" w:rsidRPr="00506B98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A8" w:rsidRDefault="008567A8" w:rsidP="00506B98">
      <w:r>
        <w:separator/>
      </w:r>
    </w:p>
  </w:endnote>
  <w:endnote w:type="continuationSeparator" w:id="0">
    <w:p w:rsidR="008567A8" w:rsidRDefault="008567A8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98" w:rsidRDefault="00506B98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A8" w:rsidRDefault="008567A8" w:rsidP="00506B98">
      <w:r>
        <w:separator/>
      </w:r>
    </w:p>
  </w:footnote>
  <w:footnote w:type="continuationSeparator" w:id="0">
    <w:p w:rsidR="008567A8" w:rsidRDefault="008567A8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9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4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6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8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1"/>
  </w:num>
  <w:num w:numId="14">
    <w:abstractNumId w:val="17"/>
  </w:num>
  <w:num w:numId="15">
    <w:abstractNumId w:val="12"/>
  </w:num>
  <w:num w:numId="16">
    <w:abstractNumId w:val="16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8229E"/>
    <w:rsid w:val="00087CA9"/>
    <w:rsid w:val="000A175D"/>
    <w:rsid w:val="000B0795"/>
    <w:rsid w:val="000F1C76"/>
    <w:rsid w:val="00102FA1"/>
    <w:rsid w:val="00111007"/>
    <w:rsid w:val="00137572"/>
    <w:rsid w:val="00150DA3"/>
    <w:rsid w:val="001A3662"/>
    <w:rsid w:val="001F7FB2"/>
    <w:rsid w:val="00283031"/>
    <w:rsid w:val="002C307C"/>
    <w:rsid w:val="00327EFA"/>
    <w:rsid w:val="0034704A"/>
    <w:rsid w:val="003D027E"/>
    <w:rsid w:val="00454166"/>
    <w:rsid w:val="004555F8"/>
    <w:rsid w:val="004C7546"/>
    <w:rsid w:val="004F0FDD"/>
    <w:rsid w:val="004F1C32"/>
    <w:rsid w:val="00506B98"/>
    <w:rsid w:val="00545413"/>
    <w:rsid w:val="005666D9"/>
    <w:rsid w:val="00567218"/>
    <w:rsid w:val="00567879"/>
    <w:rsid w:val="00601521"/>
    <w:rsid w:val="0060423B"/>
    <w:rsid w:val="00637378"/>
    <w:rsid w:val="006B4AA0"/>
    <w:rsid w:val="006E1F8C"/>
    <w:rsid w:val="0071468B"/>
    <w:rsid w:val="007474C4"/>
    <w:rsid w:val="007C2D11"/>
    <w:rsid w:val="00833996"/>
    <w:rsid w:val="008567A8"/>
    <w:rsid w:val="00891CE6"/>
    <w:rsid w:val="00896907"/>
    <w:rsid w:val="008A035C"/>
    <w:rsid w:val="008C1B9B"/>
    <w:rsid w:val="009206D6"/>
    <w:rsid w:val="00965114"/>
    <w:rsid w:val="009D132A"/>
    <w:rsid w:val="00A019B8"/>
    <w:rsid w:val="00A55275"/>
    <w:rsid w:val="00A95ADE"/>
    <w:rsid w:val="00AA46B6"/>
    <w:rsid w:val="00AC60D7"/>
    <w:rsid w:val="00B57FA9"/>
    <w:rsid w:val="00B860D0"/>
    <w:rsid w:val="00BC1E74"/>
    <w:rsid w:val="00BE2D3A"/>
    <w:rsid w:val="00C227AD"/>
    <w:rsid w:val="00C22E01"/>
    <w:rsid w:val="00CB14A3"/>
    <w:rsid w:val="00CB7395"/>
    <w:rsid w:val="00CE0CC1"/>
    <w:rsid w:val="00D35B87"/>
    <w:rsid w:val="00DA7E7F"/>
    <w:rsid w:val="00DB60A7"/>
    <w:rsid w:val="00E126E6"/>
    <w:rsid w:val="00E20BED"/>
    <w:rsid w:val="00E26378"/>
    <w:rsid w:val="00E85649"/>
    <w:rsid w:val="00EA00F9"/>
    <w:rsid w:val="00EA1FBC"/>
    <w:rsid w:val="00ED065A"/>
    <w:rsid w:val="00EF3B1C"/>
    <w:rsid w:val="00F31566"/>
    <w:rsid w:val="00F556D1"/>
    <w:rsid w:val="00F66569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lson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pa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2A58-7C02-4C1E-9FD7-548BBE9A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2522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Nelson, Carol</cp:lastModifiedBy>
  <cp:revision>2</cp:revision>
  <cp:lastPrinted>2015-11-03T16:45:00Z</cp:lastPrinted>
  <dcterms:created xsi:type="dcterms:W3CDTF">2015-11-03T16:49:00Z</dcterms:created>
  <dcterms:modified xsi:type="dcterms:W3CDTF">2015-11-03T16:49:00Z</dcterms:modified>
</cp:coreProperties>
</file>