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AB" w:rsidRPr="00402F43" w:rsidRDefault="003D1119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402F43">
        <w:rPr>
          <w:rFonts w:ascii="Arial" w:hAnsi="Arial" w:cs="Arial"/>
          <w:b/>
          <w:sz w:val="22"/>
          <w:szCs w:val="22"/>
          <w:u w:val="single"/>
        </w:rPr>
        <w:t xml:space="preserve">CLIMATE COMMITMENT </w:t>
      </w:r>
      <w:r w:rsidR="000F1476" w:rsidRPr="00402F43">
        <w:rPr>
          <w:rFonts w:ascii="Arial" w:hAnsi="Arial" w:cs="Arial"/>
          <w:b/>
          <w:sz w:val="22"/>
          <w:szCs w:val="22"/>
          <w:u w:val="single"/>
        </w:rPr>
        <w:t>IMPLEMENTATION</w:t>
      </w:r>
      <w:r w:rsidR="00FB4BAB" w:rsidRPr="00402F43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</w:p>
    <w:bookmarkEnd w:id="0"/>
    <w:p w:rsidR="00FB4BAB" w:rsidRPr="00AF1D81" w:rsidRDefault="00FB4BAB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AF1D81">
        <w:rPr>
          <w:rFonts w:ascii="Arial" w:hAnsi="Arial" w:cs="Arial"/>
          <w:sz w:val="22"/>
          <w:szCs w:val="22"/>
        </w:rPr>
        <w:t>(</w:t>
      </w:r>
      <w:r w:rsidR="000F1476" w:rsidRPr="00AF1D81">
        <w:rPr>
          <w:rFonts w:ascii="Arial" w:hAnsi="Arial" w:cs="Arial"/>
          <w:sz w:val="22"/>
          <w:szCs w:val="22"/>
        </w:rPr>
        <w:t>Governance</w:t>
      </w:r>
      <w:r w:rsidR="004F17EB" w:rsidRPr="00AF1D81">
        <w:rPr>
          <w:rFonts w:ascii="Arial" w:hAnsi="Arial" w:cs="Arial"/>
          <w:sz w:val="22"/>
          <w:szCs w:val="22"/>
        </w:rPr>
        <w:t xml:space="preserve"> Committee – Report</w:t>
      </w:r>
      <w:r w:rsidR="00D462A2" w:rsidRPr="00AF1D81">
        <w:rPr>
          <w:rFonts w:ascii="Arial" w:hAnsi="Arial" w:cs="Arial"/>
          <w:sz w:val="22"/>
          <w:szCs w:val="22"/>
        </w:rPr>
        <w:t xml:space="preserve">s to </w:t>
      </w:r>
      <w:r w:rsidR="000F1476" w:rsidRPr="00AF1D81">
        <w:rPr>
          <w:rFonts w:ascii="Arial" w:hAnsi="Arial" w:cs="Arial"/>
          <w:sz w:val="22"/>
          <w:szCs w:val="22"/>
        </w:rPr>
        <w:t>President’s Advisory Council</w:t>
      </w:r>
      <w:r w:rsidRPr="00AF1D81">
        <w:rPr>
          <w:rFonts w:ascii="Arial" w:hAnsi="Arial" w:cs="Arial"/>
          <w:sz w:val="22"/>
          <w:szCs w:val="22"/>
        </w:rPr>
        <w:t>)</w:t>
      </w:r>
    </w:p>
    <w:p w:rsidR="00FB4BAB" w:rsidRPr="00C0170F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FB4BAB" w:rsidRPr="00C0170F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bookmarkStart w:id="1" w:name="OLE_LINK4"/>
      <w:bookmarkStart w:id="2" w:name="OLE_LINK5"/>
      <w:r w:rsidRPr="00C0170F">
        <w:rPr>
          <w:rFonts w:ascii="Arial" w:hAnsi="Arial" w:cs="Arial"/>
          <w:sz w:val="22"/>
          <w:szCs w:val="22"/>
          <w:u w:val="single"/>
        </w:rPr>
        <w:t>Purpose</w:t>
      </w:r>
    </w:p>
    <w:p w:rsidR="00FB4BAB" w:rsidRPr="00C0170F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FB4BAB" w:rsidRPr="00AF1D81" w:rsidRDefault="00AF1D81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AF1D81">
        <w:rPr>
          <w:rFonts w:ascii="Arial" w:hAnsi="Arial" w:cs="Arial"/>
          <w:sz w:val="22"/>
          <w:szCs w:val="22"/>
        </w:rPr>
        <w:t>The</w:t>
      </w:r>
      <w:r w:rsidR="00FB4BAB" w:rsidRPr="00AF1D81">
        <w:rPr>
          <w:rFonts w:ascii="Arial" w:hAnsi="Arial" w:cs="Arial"/>
          <w:sz w:val="22"/>
          <w:szCs w:val="22"/>
        </w:rPr>
        <w:t xml:space="preserve"> </w:t>
      </w:r>
      <w:r w:rsidR="00F21F54" w:rsidRPr="00AF1D81">
        <w:rPr>
          <w:rFonts w:ascii="Arial" w:hAnsi="Arial" w:cs="Arial"/>
          <w:sz w:val="22"/>
          <w:szCs w:val="22"/>
        </w:rPr>
        <w:t xml:space="preserve">Climate Commitment Implementation Committee </w:t>
      </w:r>
      <w:r w:rsidR="00FB4BAB" w:rsidRPr="00AF1D81">
        <w:rPr>
          <w:rFonts w:ascii="Arial" w:hAnsi="Arial" w:cs="Arial"/>
          <w:sz w:val="22"/>
          <w:szCs w:val="22"/>
        </w:rPr>
        <w:t>exists for the purpose of</w:t>
      </w:r>
      <w:r w:rsidR="00420819" w:rsidRPr="00AF1D81">
        <w:rPr>
          <w:rFonts w:ascii="Arial" w:hAnsi="Arial" w:cs="Arial"/>
          <w:sz w:val="22"/>
          <w:szCs w:val="22"/>
        </w:rPr>
        <w:t>: 1)</w:t>
      </w:r>
      <w:r w:rsidR="00FB4BAB" w:rsidRPr="00AF1D81">
        <w:rPr>
          <w:rFonts w:ascii="Arial" w:hAnsi="Arial" w:cs="Arial"/>
          <w:sz w:val="22"/>
          <w:szCs w:val="22"/>
        </w:rPr>
        <w:t xml:space="preserve"> provi</w:t>
      </w:r>
      <w:r w:rsidR="00487CDA" w:rsidRPr="00AF1D81">
        <w:rPr>
          <w:rFonts w:ascii="Arial" w:hAnsi="Arial" w:cs="Arial"/>
          <w:sz w:val="22"/>
          <w:szCs w:val="22"/>
        </w:rPr>
        <w:t xml:space="preserve">ding education about the </w:t>
      </w:r>
      <w:r w:rsidR="00F21F54" w:rsidRPr="00AF1D81">
        <w:rPr>
          <w:rFonts w:ascii="Arial" w:hAnsi="Arial" w:cs="Arial"/>
          <w:sz w:val="22"/>
          <w:szCs w:val="22"/>
        </w:rPr>
        <w:t xml:space="preserve">Climate Commitment (formerly known as the American College and University Presidents’ Commitment on Climate – ACUPCC) </w:t>
      </w:r>
      <w:r w:rsidR="00487CDA" w:rsidRPr="00AF1D81">
        <w:rPr>
          <w:rFonts w:ascii="Arial" w:hAnsi="Arial" w:cs="Arial"/>
          <w:sz w:val="22"/>
          <w:szCs w:val="22"/>
        </w:rPr>
        <w:t xml:space="preserve">and </w:t>
      </w:r>
      <w:r w:rsidR="00420819" w:rsidRPr="00AF1D81">
        <w:rPr>
          <w:rFonts w:ascii="Arial" w:hAnsi="Arial" w:cs="Arial"/>
          <w:sz w:val="22"/>
          <w:szCs w:val="22"/>
        </w:rPr>
        <w:t xml:space="preserve">2) </w:t>
      </w:r>
      <w:r w:rsidR="00487CDA" w:rsidRPr="00AF1D81">
        <w:rPr>
          <w:rFonts w:ascii="Arial" w:hAnsi="Arial" w:cs="Arial"/>
          <w:sz w:val="22"/>
          <w:szCs w:val="22"/>
        </w:rPr>
        <w:t>overseeing the</w:t>
      </w:r>
      <w:r w:rsidR="00420819" w:rsidRPr="00AF1D81">
        <w:rPr>
          <w:rFonts w:ascii="Arial" w:hAnsi="Arial" w:cs="Arial"/>
          <w:sz w:val="22"/>
          <w:szCs w:val="22"/>
        </w:rPr>
        <w:t xml:space="preserve"> </w:t>
      </w:r>
      <w:r w:rsidR="00F21F54" w:rsidRPr="00AF1D81">
        <w:rPr>
          <w:rFonts w:ascii="Arial" w:hAnsi="Arial" w:cs="Arial"/>
          <w:sz w:val="22"/>
          <w:szCs w:val="22"/>
        </w:rPr>
        <w:t xml:space="preserve">sustainable </w:t>
      </w:r>
      <w:r w:rsidR="00420819" w:rsidRPr="00AF1D81">
        <w:rPr>
          <w:rFonts w:ascii="Arial" w:hAnsi="Arial" w:cs="Arial"/>
          <w:sz w:val="22"/>
          <w:szCs w:val="22"/>
        </w:rPr>
        <w:t>implementation of the</w:t>
      </w:r>
      <w:r w:rsidR="00487CDA" w:rsidRPr="00AF1D81">
        <w:rPr>
          <w:rFonts w:ascii="Arial" w:hAnsi="Arial" w:cs="Arial"/>
          <w:sz w:val="22"/>
          <w:szCs w:val="22"/>
        </w:rPr>
        <w:t xml:space="preserve"> requirements</w:t>
      </w:r>
      <w:r w:rsidR="00420819" w:rsidRPr="00AF1D81">
        <w:rPr>
          <w:rFonts w:ascii="Arial" w:hAnsi="Arial" w:cs="Arial"/>
          <w:sz w:val="22"/>
          <w:szCs w:val="22"/>
        </w:rPr>
        <w:t xml:space="preserve"> of the ACUPCC </w:t>
      </w:r>
      <w:r w:rsidR="00895E68" w:rsidRPr="00AF1D81">
        <w:rPr>
          <w:rFonts w:ascii="Arial" w:hAnsi="Arial" w:cs="Arial"/>
          <w:sz w:val="22"/>
          <w:szCs w:val="22"/>
        </w:rPr>
        <w:t xml:space="preserve">Carbon Commitment, which Mt. SAC is a signatory to </w:t>
      </w:r>
      <w:r w:rsidR="0039348F" w:rsidRPr="00AF1D81">
        <w:rPr>
          <w:rFonts w:ascii="Arial" w:hAnsi="Arial" w:cs="Arial"/>
          <w:sz w:val="22"/>
          <w:szCs w:val="22"/>
        </w:rPr>
        <w:t>(below)</w:t>
      </w:r>
      <w:r w:rsidR="00FB4BAB" w:rsidRPr="00AF1D81">
        <w:rPr>
          <w:rFonts w:ascii="Arial" w:hAnsi="Arial" w:cs="Arial"/>
          <w:sz w:val="22"/>
          <w:szCs w:val="22"/>
        </w:rPr>
        <w:t>:</w:t>
      </w:r>
    </w:p>
    <w:p w:rsidR="00FB4BAB" w:rsidRPr="00C0170F" w:rsidRDefault="00FB4BAB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:rsidR="00FB4BAB" w:rsidRDefault="00487CDA" w:rsidP="00C0170F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>Raising awareness within the campus community and the broader community about climate change and the institutional and cultural changes that need to be made to adapt to unavoidable climate change</w:t>
      </w:r>
      <w:r w:rsidR="00344651" w:rsidRPr="00C0170F">
        <w:rPr>
          <w:rFonts w:ascii="Arial" w:hAnsi="Arial" w:cs="Arial"/>
          <w:sz w:val="22"/>
          <w:szCs w:val="22"/>
        </w:rPr>
        <w:t>, on the one hand,</w:t>
      </w:r>
      <w:r w:rsidRPr="00C0170F">
        <w:rPr>
          <w:rFonts w:ascii="Arial" w:hAnsi="Arial" w:cs="Arial"/>
          <w:sz w:val="22"/>
          <w:szCs w:val="22"/>
        </w:rPr>
        <w:t xml:space="preserve"> and prevent unmanageable climate change</w:t>
      </w:r>
      <w:r w:rsidR="00344651" w:rsidRPr="00C0170F">
        <w:rPr>
          <w:rFonts w:ascii="Arial" w:hAnsi="Arial" w:cs="Arial"/>
          <w:sz w:val="22"/>
          <w:szCs w:val="22"/>
        </w:rPr>
        <w:t>, on the other</w:t>
      </w:r>
      <w:r w:rsidR="00FB4BAB" w:rsidRPr="00C0170F">
        <w:rPr>
          <w:rFonts w:ascii="Arial" w:hAnsi="Arial" w:cs="Arial"/>
          <w:sz w:val="22"/>
          <w:szCs w:val="22"/>
        </w:rPr>
        <w:t>.</w:t>
      </w:r>
    </w:p>
    <w:p w:rsidR="00F21F54" w:rsidRPr="00AF1D81" w:rsidRDefault="00F21F54" w:rsidP="00C0170F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AF1D81">
        <w:rPr>
          <w:rFonts w:ascii="Arial" w:hAnsi="Arial" w:cs="Arial"/>
          <w:sz w:val="22"/>
          <w:szCs w:val="22"/>
        </w:rPr>
        <w:t>Supporting</w:t>
      </w:r>
      <w:r w:rsidR="00AF1D81" w:rsidRPr="00AF1D81">
        <w:rPr>
          <w:rFonts w:ascii="Arial" w:hAnsi="Arial" w:cs="Arial"/>
          <w:sz w:val="22"/>
          <w:szCs w:val="22"/>
        </w:rPr>
        <w:t xml:space="preserve"> </w:t>
      </w:r>
      <w:r w:rsidRPr="00AF1D81">
        <w:rPr>
          <w:rFonts w:ascii="Arial" w:hAnsi="Arial" w:cs="Arial"/>
          <w:sz w:val="22"/>
          <w:szCs w:val="22"/>
        </w:rPr>
        <w:t>the</w:t>
      </w:r>
      <w:r w:rsidR="00AF1D81" w:rsidRPr="00AF1D81">
        <w:rPr>
          <w:rFonts w:ascii="Arial" w:hAnsi="Arial" w:cs="Arial"/>
          <w:sz w:val="22"/>
          <w:szCs w:val="22"/>
        </w:rPr>
        <w:t xml:space="preserve"> incorporat</w:t>
      </w:r>
      <w:r w:rsidRPr="00AF1D81">
        <w:rPr>
          <w:rFonts w:ascii="Arial" w:hAnsi="Arial" w:cs="Arial"/>
          <w:sz w:val="22"/>
          <w:szCs w:val="22"/>
        </w:rPr>
        <w:t>ion of sustainability and climate change across the curriculum.</w:t>
      </w:r>
    </w:p>
    <w:p w:rsidR="00FB4BAB" w:rsidRDefault="00053C5B" w:rsidP="00C0170F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>To work with the Mt. SAC Sustainability Committee to increase</w:t>
      </w:r>
      <w:r w:rsidR="00FB4BAB" w:rsidRPr="00C0170F">
        <w:rPr>
          <w:rFonts w:ascii="Arial" w:hAnsi="Arial" w:cs="Arial"/>
          <w:sz w:val="22"/>
          <w:szCs w:val="22"/>
        </w:rPr>
        <w:t xml:space="preserve"> awaren</w:t>
      </w:r>
      <w:r w:rsidR="00487CDA" w:rsidRPr="00C0170F">
        <w:rPr>
          <w:rFonts w:ascii="Arial" w:hAnsi="Arial" w:cs="Arial"/>
          <w:sz w:val="22"/>
          <w:szCs w:val="22"/>
        </w:rPr>
        <w:t>es</w:t>
      </w:r>
      <w:r w:rsidR="000019DC" w:rsidRPr="00C0170F">
        <w:rPr>
          <w:rFonts w:ascii="Arial" w:hAnsi="Arial" w:cs="Arial"/>
          <w:sz w:val="22"/>
          <w:szCs w:val="22"/>
        </w:rPr>
        <w:t>s about</w:t>
      </w:r>
      <w:r w:rsidR="001E3904" w:rsidRPr="00C0170F">
        <w:rPr>
          <w:rFonts w:ascii="Arial" w:hAnsi="Arial" w:cs="Arial"/>
          <w:sz w:val="22"/>
          <w:szCs w:val="22"/>
        </w:rPr>
        <w:t xml:space="preserve"> sustainable lifestyles, </w:t>
      </w:r>
      <w:r w:rsidR="00487CDA" w:rsidRPr="00C0170F">
        <w:rPr>
          <w:rFonts w:ascii="Arial" w:hAnsi="Arial" w:cs="Arial"/>
          <w:sz w:val="22"/>
          <w:szCs w:val="22"/>
        </w:rPr>
        <w:t>forms of economic production and development</w:t>
      </w:r>
      <w:r w:rsidR="00FB4BAB" w:rsidRPr="00C0170F">
        <w:rPr>
          <w:rFonts w:ascii="Arial" w:hAnsi="Arial" w:cs="Arial"/>
          <w:sz w:val="22"/>
          <w:szCs w:val="22"/>
        </w:rPr>
        <w:t>.</w:t>
      </w:r>
    </w:p>
    <w:p w:rsidR="00FB4BAB" w:rsidRPr="00C0170F" w:rsidRDefault="005E61ED" w:rsidP="00C0170F">
      <w:pPr>
        <w:numPr>
          <w:ilvl w:val="0"/>
          <w:numId w:val="2"/>
        </w:numPr>
        <w:tabs>
          <w:tab w:val="clear" w:pos="360"/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>Promoting</w:t>
      </w:r>
      <w:r w:rsidR="00FB4BAB" w:rsidRPr="00C0170F">
        <w:rPr>
          <w:rFonts w:ascii="Arial" w:hAnsi="Arial" w:cs="Arial"/>
          <w:sz w:val="22"/>
          <w:szCs w:val="22"/>
        </w:rPr>
        <w:t xml:space="preserve"> compliance with laws </w:t>
      </w:r>
      <w:r w:rsidR="00487CDA" w:rsidRPr="00C0170F">
        <w:rPr>
          <w:rFonts w:ascii="Arial" w:hAnsi="Arial" w:cs="Arial"/>
          <w:sz w:val="22"/>
          <w:szCs w:val="22"/>
        </w:rPr>
        <w:t>and regulations affecting greenhouse gas emissions and s</w:t>
      </w:r>
      <w:r w:rsidRPr="00C0170F">
        <w:rPr>
          <w:rFonts w:ascii="Arial" w:hAnsi="Arial" w:cs="Arial"/>
          <w:sz w:val="22"/>
          <w:szCs w:val="22"/>
        </w:rPr>
        <w:t xml:space="preserve">ustainable use of </w:t>
      </w:r>
      <w:r w:rsidR="00487CDA" w:rsidRPr="00C0170F">
        <w:rPr>
          <w:rFonts w:ascii="Arial" w:hAnsi="Arial" w:cs="Arial"/>
          <w:sz w:val="22"/>
          <w:szCs w:val="22"/>
        </w:rPr>
        <w:t>resources.</w:t>
      </w:r>
    </w:p>
    <w:p w:rsidR="00FB4BAB" w:rsidRPr="00C0170F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FB4BAB" w:rsidRPr="00C0170F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  <w:r w:rsidRPr="00C0170F">
        <w:rPr>
          <w:rFonts w:ascii="Arial" w:hAnsi="Arial" w:cs="Arial"/>
          <w:sz w:val="22"/>
          <w:szCs w:val="22"/>
          <w:u w:val="single"/>
        </w:rPr>
        <w:t>Function</w:t>
      </w:r>
    </w:p>
    <w:p w:rsidR="00083438" w:rsidRPr="00C0170F" w:rsidRDefault="00083438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</w:p>
    <w:p w:rsidR="00083438" w:rsidRPr="00C0170F" w:rsidRDefault="00083438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AF1D81">
        <w:rPr>
          <w:rFonts w:ascii="Arial" w:hAnsi="Arial" w:cs="Arial"/>
          <w:sz w:val="22"/>
          <w:szCs w:val="22"/>
        </w:rPr>
        <w:t xml:space="preserve">The </w:t>
      </w:r>
      <w:r w:rsidR="00F21F54" w:rsidRPr="00AF1D81">
        <w:rPr>
          <w:rFonts w:ascii="Arial" w:hAnsi="Arial" w:cs="Arial"/>
          <w:sz w:val="22"/>
          <w:szCs w:val="22"/>
        </w:rPr>
        <w:t>Climate Commitment Implementation Committee</w:t>
      </w:r>
      <w:r w:rsidRPr="00AF1D81">
        <w:rPr>
          <w:rFonts w:ascii="Arial" w:hAnsi="Arial" w:cs="Arial"/>
          <w:sz w:val="22"/>
          <w:szCs w:val="22"/>
        </w:rPr>
        <w:t xml:space="preserve"> report</w:t>
      </w:r>
      <w:r w:rsidR="00B662C5" w:rsidRPr="00AF1D81">
        <w:rPr>
          <w:rFonts w:ascii="Arial" w:hAnsi="Arial" w:cs="Arial"/>
          <w:sz w:val="22"/>
          <w:szCs w:val="22"/>
        </w:rPr>
        <w:t>s</w:t>
      </w:r>
      <w:r w:rsidRPr="00AF1D81">
        <w:rPr>
          <w:rFonts w:ascii="Arial" w:hAnsi="Arial" w:cs="Arial"/>
          <w:sz w:val="22"/>
          <w:szCs w:val="22"/>
        </w:rPr>
        <w:t xml:space="preserve"> to the campus President and chief</w:t>
      </w:r>
      <w:r w:rsidRPr="00C0170F">
        <w:rPr>
          <w:rFonts w:ascii="Arial" w:hAnsi="Arial" w:cs="Arial"/>
          <w:sz w:val="22"/>
          <w:szCs w:val="22"/>
        </w:rPr>
        <w:t xml:space="preserve"> aca</w:t>
      </w:r>
      <w:r w:rsidR="001E3904" w:rsidRPr="00C0170F">
        <w:rPr>
          <w:rFonts w:ascii="Arial" w:hAnsi="Arial" w:cs="Arial"/>
          <w:sz w:val="22"/>
          <w:szCs w:val="22"/>
        </w:rPr>
        <w:t>demic and b</w:t>
      </w:r>
      <w:r w:rsidR="002E23B8" w:rsidRPr="00C0170F">
        <w:rPr>
          <w:rFonts w:ascii="Arial" w:hAnsi="Arial" w:cs="Arial"/>
          <w:sz w:val="22"/>
          <w:szCs w:val="22"/>
        </w:rPr>
        <w:t xml:space="preserve">usiness officers and is </w:t>
      </w:r>
      <w:r w:rsidRPr="00C0170F">
        <w:rPr>
          <w:rFonts w:ascii="Arial" w:hAnsi="Arial" w:cs="Arial"/>
          <w:sz w:val="22"/>
          <w:szCs w:val="22"/>
        </w:rPr>
        <w:t>responsible for overall development, co</w:t>
      </w:r>
      <w:r w:rsidR="00382EC2" w:rsidRPr="00C0170F">
        <w:rPr>
          <w:rFonts w:ascii="Arial" w:hAnsi="Arial" w:cs="Arial"/>
          <w:sz w:val="22"/>
          <w:szCs w:val="22"/>
        </w:rPr>
        <w:t>ordination, and supervision of regular greenhouse gas inventories as well as th</w:t>
      </w:r>
      <w:r w:rsidR="002E23B8" w:rsidRPr="00C0170F">
        <w:rPr>
          <w:rFonts w:ascii="Arial" w:hAnsi="Arial" w:cs="Arial"/>
          <w:sz w:val="22"/>
          <w:szCs w:val="22"/>
        </w:rPr>
        <w:t>e development and implementation</w:t>
      </w:r>
      <w:r w:rsidR="00382EC2" w:rsidRPr="00C0170F">
        <w:rPr>
          <w:rFonts w:ascii="Arial" w:hAnsi="Arial" w:cs="Arial"/>
          <w:sz w:val="22"/>
          <w:szCs w:val="22"/>
        </w:rPr>
        <w:t xml:space="preserve"> of a climate action plan </w:t>
      </w:r>
      <w:r w:rsidR="002E23B8" w:rsidRPr="00C0170F">
        <w:rPr>
          <w:rFonts w:ascii="Arial" w:hAnsi="Arial" w:cs="Arial"/>
          <w:sz w:val="22"/>
          <w:szCs w:val="22"/>
        </w:rPr>
        <w:t>which will serve as a blueprint for Mt. SAC’s achievement of neutrality in greenhouse gas emissions over a specified period of time</w:t>
      </w:r>
      <w:r w:rsidR="00B662C5" w:rsidRPr="00C0170F">
        <w:rPr>
          <w:rFonts w:ascii="Arial" w:hAnsi="Arial" w:cs="Arial"/>
          <w:sz w:val="22"/>
          <w:szCs w:val="22"/>
        </w:rPr>
        <w:t>. The committee will also recommend</w:t>
      </w:r>
      <w:r w:rsidR="002E23B8" w:rsidRPr="00C0170F">
        <w:rPr>
          <w:rFonts w:ascii="Arial" w:hAnsi="Arial" w:cs="Arial"/>
          <w:sz w:val="22"/>
          <w:szCs w:val="22"/>
        </w:rPr>
        <w:t xml:space="preserve"> steps to meet </w:t>
      </w:r>
      <w:r w:rsidR="001E3904" w:rsidRPr="00C0170F">
        <w:rPr>
          <w:rFonts w:ascii="Arial" w:hAnsi="Arial" w:cs="Arial"/>
          <w:sz w:val="22"/>
          <w:szCs w:val="22"/>
        </w:rPr>
        <w:t>o</w:t>
      </w:r>
      <w:r w:rsidR="002E23B8" w:rsidRPr="00C0170F">
        <w:rPr>
          <w:rFonts w:ascii="Arial" w:hAnsi="Arial" w:cs="Arial"/>
          <w:sz w:val="22"/>
          <w:szCs w:val="22"/>
        </w:rPr>
        <w:t>ther requirements of the ACUPCC.</w:t>
      </w:r>
    </w:p>
    <w:p w:rsidR="00FB4BAB" w:rsidRPr="00C0170F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FB4BAB" w:rsidRDefault="00FB4BAB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>To serve as the primary advisory body to the President’s Advisory Council re</w:t>
      </w:r>
      <w:r w:rsidR="00487CDA" w:rsidRPr="00C0170F">
        <w:rPr>
          <w:rFonts w:ascii="Arial" w:hAnsi="Arial" w:cs="Arial"/>
          <w:sz w:val="22"/>
          <w:szCs w:val="22"/>
        </w:rPr>
        <w:t>garding the American College and University P</w:t>
      </w:r>
      <w:r w:rsidR="00C03CE2" w:rsidRPr="00C0170F">
        <w:rPr>
          <w:rFonts w:ascii="Arial" w:hAnsi="Arial" w:cs="Arial"/>
          <w:sz w:val="22"/>
          <w:szCs w:val="22"/>
        </w:rPr>
        <w:t>residents’ Climate Commitment</w:t>
      </w:r>
      <w:r w:rsidRPr="00C0170F">
        <w:rPr>
          <w:rFonts w:ascii="Arial" w:hAnsi="Arial" w:cs="Arial"/>
          <w:sz w:val="22"/>
          <w:szCs w:val="22"/>
        </w:rPr>
        <w:t>.</w:t>
      </w:r>
    </w:p>
    <w:p w:rsidR="00FB4BAB" w:rsidRDefault="00086C80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 xml:space="preserve">To </w:t>
      </w:r>
      <w:r w:rsidR="00E43000" w:rsidRPr="00C0170F">
        <w:rPr>
          <w:rFonts w:ascii="Arial" w:hAnsi="Arial" w:cs="Arial"/>
          <w:sz w:val="22"/>
          <w:szCs w:val="22"/>
        </w:rPr>
        <w:t>ensure completion of</w:t>
      </w:r>
      <w:r w:rsidRPr="00C0170F">
        <w:rPr>
          <w:rFonts w:ascii="Arial" w:hAnsi="Arial" w:cs="Arial"/>
          <w:sz w:val="22"/>
          <w:szCs w:val="22"/>
        </w:rPr>
        <w:t xml:space="preserve"> a greenhouse gas emiss</w:t>
      </w:r>
      <w:r w:rsidR="00C60F5B" w:rsidRPr="00C0170F">
        <w:rPr>
          <w:rFonts w:ascii="Arial" w:hAnsi="Arial" w:cs="Arial"/>
          <w:sz w:val="22"/>
          <w:szCs w:val="22"/>
        </w:rPr>
        <w:t xml:space="preserve">ions inventory within one year </w:t>
      </w:r>
      <w:r w:rsidRPr="00C0170F">
        <w:rPr>
          <w:rFonts w:ascii="Arial" w:hAnsi="Arial" w:cs="Arial"/>
          <w:sz w:val="22"/>
          <w:szCs w:val="22"/>
        </w:rPr>
        <w:t>of signing the ACUPCC and at least every other year thereafter</w:t>
      </w:r>
      <w:r w:rsidR="00FB4BAB" w:rsidRPr="00C0170F">
        <w:rPr>
          <w:rFonts w:ascii="Arial" w:hAnsi="Arial" w:cs="Arial"/>
          <w:sz w:val="22"/>
          <w:szCs w:val="22"/>
        </w:rPr>
        <w:t>.</w:t>
      </w:r>
    </w:p>
    <w:p w:rsidR="00FB4BAB" w:rsidRPr="00AF1D81" w:rsidRDefault="00C60F5B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 xml:space="preserve">To develop a climate action plan that will make </w:t>
      </w:r>
      <w:r w:rsidR="000019DC" w:rsidRPr="00C0170F">
        <w:rPr>
          <w:rFonts w:ascii="Arial" w:hAnsi="Arial" w:cs="Arial"/>
          <w:sz w:val="22"/>
          <w:szCs w:val="22"/>
        </w:rPr>
        <w:t>recommendations regarding</w:t>
      </w:r>
      <w:r w:rsidR="00FB4BAB" w:rsidRPr="00C0170F">
        <w:rPr>
          <w:rFonts w:ascii="Arial" w:hAnsi="Arial" w:cs="Arial"/>
          <w:sz w:val="22"/>
          <w:szCs w:val="22"/>
        </w:rPr>
        <w:t xml:space="preserve"> the development, </w:t>
      </w:r>
      <w:r w:rsidR="00FB4BAB" w:rsidRPr="00AF1D81">
        <w:rPr>
          <w:rFonts w:ascii="Arial" w:hAnsi="Arial" w:cs="Arial"/>
          <w:sz w:val="22"/>
          <w:szCs w:val="22"/>
        </w:rPr>
        <w:t>implementation, and facilitatio</w:t>
      </w:r>
      <w:r w:rsidR="00B42318" w:rsidRPr="00AF1D81">
        <w:rPr>
          <w:rFonts w:ascii="Arial" w:hAnsi="Arial" w:cs="Arial"/>
          <w:sz w:val="22"/>
          <w:szCs w:val="22"/>
        </w:rPr>
        <w:t>n of</w:t>
      </w:r>
      <w:r w:rsidR="00F21F54" w:rsidRPr="00AF1D81">
        <w:rPr>
          <w:rFonts w:ascii="Arial" w:hAnsi="Arial" w:cs="Arial"/>
          <w:sz w:val="22"/>
          <w:szCs w:val="22"/>
        </w:rPr>
        <w:t>: 1)</w:t>
      </w:r>
      <w:r w:rsidR="00B42318" w:rsidRPr="00AF1D81">
        <w:rPr>
          <w:rFonts w:ascii="Arial" w:hAnsi="Arial" w:cs="Arial"/>
          <w:sz w:val="22"/>
          <w:szCs w:val="22"/>
        </w:rPr>
        <w:t xml:space="preserve"> the achievement of zero net </w:t>
      </w:r>
      <w:r w:rsidR="00344651" w:rsidRPr="00AF1D81">
        <w:rPr>
          <w:rFonts w:ascii="Arial" w:hAnsi="Arial" w:cs="Arial"/>
          <w:sz w:val="22"/>
          <w:szCs w:val="22"/>
        </w:rPr>
        <w:t>greenhouse gas emissions</w:t>
      </w:r>
      <w:r w:rsidR="00F21F54" w:rsidRPr="00AF1D81">
        <w:rPr>
          <w:rFonts w:ascii="Arial" w:hAnsi="Arial" w:cs="Arial"/>
          <w:sz w:val="22"/>
          <w:szCs w:val="22"/>
        </w:rPr>
        <w:t xml:space="preserve">; 2) integration of sustainability into the curriculum and research &amp; professional development; </w:t>
      </w:r>
      <w:r w:rsidR="00AF1D81" w:rsidRPr="00AF1D81">
        <w:rPr>
          <w:rFonts w:ascii="Arial" w:hAnsi="Arial" w:cs="Arial"/>
          <w:sz w:val="22"/>
          <w:szCs w:val="22"/>
        </w:rPr>
        <w:t xml:space="preserve">and </w:t>
      </w:r>
      <w:r w:rsidR="00F21F54" w:rsidRPr="00AF1D81">
        <w:rPr>
          <w:rFonts w:ascii="Arial" w:hAnsi="Arial" w:cs="Arial"/>
          <w:sz w:val="22"/>
          <w:szCs w:val="22"/>
        </w:rPr>
        <w:t>3)</w:t>
      </w:r>
      <w:r w:rsidR="00344651" w:rsidRPr="00AF1D81">
        <w:rPr>
          <w:rFonts w:ascii="Arial" w:hAnsi="Arial" w:cs="Arial"/>
          <w:sz w:val="22"/>
          <w:szCs w:val="22"/>
        </w:rPr>
        <w:t xml:space="preserve"> </w:t>
      </w:r>
      <w:r w:rsidRPr="00AF1D81">
        <w:rPr>
          <w:rFonts w:ascii="Arial" w:hAnsi="Arial" w:cs="Arial"/>
          <w:sz w:val="22"/>
          <w:szCs w:val="22"/>
        </w:rPr>
        <w:t>sustainable use of resources</w:t>
      </w:r>
      <w:r w:rsidR="00344651" w:rsidRPr="00AF1D81">
        <w:rPr>
          <w:rFonts w:ascii="Arial" w:hAnsi="Arial" w:cs="Arial"/>
          <w:sz w:val="22"/>
          <w:szCs w:val="22"/>
        </w:rPr>
        <w:t>.</w:t>
      </w:r>
    </w:p>
    <w:p w:rsidR="000019DC" w:rsidRDefault="00FB4BAB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>To facilitate com</w:t>
      </w:r>
      <w:r w:rsidR="00344651" w:rsidRPr="00C0170F">
        <w:rPr>
          <w:rFonts w:ascii="Arial" w:hAnsi="Arial" w:cs="Arial"/>
          <w:sz w:val="22"/>
          <w:szCs w:val="22"/>
        </w:rPr>
        <w:t>munication and study of best practices in the area of sustainability and rapid and widespread assimilation of this knowledge.</w:t>
      </w:r>
    </w:p>
    <w:p w:rsidR="000019DC" w:rsidRPr="00C0170F" w:rsidRDefault="00C60F5B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>To make greenhouse gas inventories, the climate action plan and progress reports publicly available.</w:t>
      </w:r>
    </w:p>
    <w:p w:rsidR="00F84D88" w:rsidRDefault="00BF2CA5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>To promote</w:t>
      </w:r>
      <w:r w:rsidR="00F84D88" w:rsidRPr="00C0170F">
        <w:rPr>
          <w:rFonts w:ascii="Arial" w:hAnsi="Arial" w:cs="Arial"/>
          <w:sz w:val="22"/>
          <w:szCs w:val="22"/>
        </w:rPr>
        <w:t xml:space="preserve"> economic practices on campus and within the broader community, including </w:t>
      </w:r>
      <w:r w:rsidR="008E343E" w:rsidRPr="00C0170F">
        <w:rPr>
          <w:rFonts w:ascii="Arial" w:hAnsi="Arial" w:cs="Arial"/>
          <w:sz w:val="22"/>
          <w:szCs w:val="22"/>
        </w:rPr>
        <w:t xml:space="preserve">purchasing and </w:t>
      </w:r>
      <w:r w:rsidR="00F84D88" w:rsidRPr="00C0170F">
        <w:rPr>
          <w:rFonts w:ascii="Arial" w:hAnsi="Arial" w:cs="Arial"/>
          <w:sz w:val="22"/>
          <w:szCs w:val="22"/>
        </w:rPr>
        <w:t xml:space="preserve">investment </w:t>
      </w:r>
      <w:r w:rsidRPr="00C0170F">
        <w:rPr>
          <w:rFonts w:ascii="Arial" w:hAnsi="Arial" w:cs="Arial"/>
          <w:sz w:val="22"/>
          <w:szCs w:val="22"/>
        </w:rPr>
        <w:t>p</w:t>
      </w:r>
      <w:r w:rsidR="00C0170F">
        <w:rPr>
          <w:rFonts w:ascii="Arial" w:hAnsi="Arial" w:cs="Arial"/>
          <w:sz w:val="22"/>
          <w:szCs w:val="22"/>
        </w:rPr>
        <w:t xml:space="preserve">olicies </w:t>
      </w:r>
      <w:r w:rsidR="00F84D88" w:rsidRPr="00C0170F">
        <w:rPr>
          <w:rFonts w:ascii="Arial" w:hAnsi="Arial" w:cs="Arial"/>
          <w:sz w:val="22"/>
          <w:szCs w:val="22"/>
        </w:rPr>
        <w:t xml:space="preserve">that are in alignment with </w:t>
      </w:r>
      <w:r w:rsidR="00865D3F" w:rsidRPr="00C0170F">
        <w:rPr>
          <w:rFonts w:ascii="Arial" w:hAnsi="Arial" w:cs="Arial"/>
          <w:sz w:val="22"/>
          <w:szCs w:val="22"/>
        </w:rPr>
        <w:t xml:space="preserve">sustainability and </w:t>
      </w:r>
      <w:r w:rsidR="00074E71" w:rsidRPr="00C0170F">
        <w:rPr>
          <w:rFonts w:ascii="Arial" w:hAnsi="Arial" w:cs="Arial"/>
          <w:sz w:val="22"/>
          <w:szCs w:val="22"/>
        </w:rPr>
        <w:t xml:space="preserve">the goal of </w:t>
      </w:r>
      <w:r w:rsidR="00865D3F" w:rsidRPr="00C0170F">
        <w:rPr>
          <w:rFonts w:ascii="Arial" w:hAnsi="Arial" w:cs="Arial"/>
          <w:sz w:val="22"/>
          <w:szCs w:val="22"/>
        </w:rPr>
        <w:t>net neutrality in greenhouse gas emissions.</w:t>
      </w:r>
    </w:p>
    <w:p w:rsidR="00F84D88" w:rsidRPr="00C0170F" w:rsidRDefault="000019DC" w:rsidP="00C0170F">
      <w:pPr>
        <w:numPr>
          <w:ilvl w:val="0"/>
          <w:numId w:val="1"/>
        </w:numPr>
        <w:tabs>
          <w:tab w:val="clear" w:pos="1080"/>
          <w:tab w:val="right" w:pos="9000"/>
          <w:tab w:val="left" w:pos="9180"/>
        </w:tabs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C0170F">
        <w:rPr>
          <w:rFonts w:ascii="Arial" w:hAnsi="Arial" w:cs="Arial"/>
          <w:sz w:val="22"/>
          <w:szCs w:val="22"/>
        </w:rPr>
        <w:t>To promote outreach to the broader community on issues of climate change, greenhouse gas emissions reduction and sustainability.</w:t>
      </w:r>
    </w:p>
    <w:p w:rsidR="000F1476" w:rsidRPr="00C0170F" w:rsidRDefault="000F1476" w:rsidP="00C0170F">
      <w:pPr>
        <w:rPr>
          <w:rFonts w:ascii="Arial" w:hAnsi="Arial" w:cs="Arial"/>
          <w:sz w:val="22"/>
          <w:szCs w:val="22"/>
          <w:u w:val="single"/>
        </w:rPr>
      </w:pPr>
    </w:p>
    <w:p w:rsidR="00AF1D81" w:rsidRDefault="00AF1D81">
      <w:pPr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0F1476" w:rsidRPr="00C0170F" w:rsidRDefault="000F1476" w:rsidP="00C0170F">
      <w:pPr>
        <w:rPr>
          <w:rFonts w:ascii="Arial" w:hAnsi="Arial" w:cs="Arial"/>
          <w:sz w:val="22"/>
          <w:szCs w:val="22"/>
          <w:u w:val="single"/>
        </w:rPr>
      </w:pPr>
      <w:r w:rsidRPr="00C0170F">
        <w:rPr>
          <w:rFonts w:ascii="Arial" w:hAnsi="Arial" w:cs="Arial"/>
          <w:sz w:val="22"/>
          <w:szCs w:val="22"/>
          <w:u w:val="single"/>
        </w:rPr>
        <w:lastRenderedPageBreak/>
        <w:t>Membership (</w:t>
      </w:r>
      <w:r w:rsidR="00AF1D81">
        <w:rPr>
          <w:rFonts w:ascii="Arial" w:hAnsi="Arial" w:cs="Arial"/>
          <w:sz w:val="22"/>
          <w:szCs w:val="22"/>
          <w:u w:val="single"/>
        </w:rPr>
        <w:t>13</w:t>
      </w:r>
      <w:r w:rsidRPr="00C0170F">
        <w:rPr>
          <w:rFonts w:ascii="Arial" w:hAnsi="Arial" w:cs="Arial"/>
          <w:sz w:val="22"/>
          <w:szCs w:val="22"/>
          <w:u w:val="single"/>
        </w:rPr>
        <w:t>)</w:t>
      </w:r>
    </w:p>
    <w:p w:rsidR="000F1476" w:rsidRPr="00C0170F" w:rsidRDefault="000F1476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36" w:type="dxa"/>
        <w:tblInd w:w="-5" w:type="dxa"/>
        <w:tblLook w:val="04A0" w:firstRow="1" w:lastRow="0" w:firstColumn="1" w:lastColumn="0" w:noHBand="0" w:noVBand="1"/>
      </w:tblPr>
      <w:tblGrid>
        <w:gridCol w:w="522"/>
        <w:gridCol w:w="5128"/>
        <w:gridCol w:w="943"/>
        <w:gridCol w:w="2197"/>
        <w:gridCol w:w="1146"/>
      </w:tblGrid>
      <w:tr w:rsidR="000F1476" w:rsidRPr="00C0170F" w:rsidTr="003C5649">
        <w:tc>
          <w:tcPr>
            <w:tcW w:w="522" w:type="dxa"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8" w:type="dxa"/>
          </w:tcPr>
          <w:p w:rsidR="000F1476" w:rsidRPr="00C0170F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0170F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40" w:type="dxa"/>
            <w:gridSpan w:val="2"/>
          </w:tcPr>
          <w:p w:rsidR="000F1476" w:rsidRPr="00C0170F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0170F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46" w:type="dxa"/>
          </w:tcPr>
          <w:p w:rsidR="000F1476" w:rsidRPr="00C0170F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0170F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0F1476" w:rsidRPr="00C0170F" w:rsidTr="003C5649">
        <w:tc>
          <w:tcPr>
            <w:tcW w:w="522" w:type="dxa"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28" w:type="dxa"/>
            <w:vMerge w:val="restart"/>
          </w:tcPr>
          <w:p w:rsidR="000F1476" w:rsidRPr="00C0170F" w:rsidRDefault="00AF1D81" w:rsidP="00C01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Management</w:t>
            </w:r>
            <w:r w:rsidR="000F1476" w:rsidRPr="00C0170F">
              <w:rPr>
                <w:rFonts w:ascii="Arial" w:hAnsi="Arial" w:cs="Arial"/>
                <w:sz w:val="22"/>
                <w:szCs w:val="22"/>
              </w:rPr>
              <w:t xml:space="preserve"> (appointed by </w:t>
            </w:r>
            <w:r w:rsidR="00C0170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F1476" w:rsidRPr="00C0170F">
              <w:rPr>
                <w:rFonts w:ascii="Arial" w:hAnsi="Arial" w:cs="Arial"/>
                <w:sz w:val="22"/>
                <w:szCs w:val="22"/>
              </w:rPr>
              <w:t>College President)</w:t>
            </w:r>
          </w:p>
        </w:tc>
        <w:tc>
          <w:tcPr>
            <w:tcW w:w="3140" w:type="dxa"/>
            <w:gridSpan w:val="2"/>
          </w:tcPr>
          <w:p w:rsidR="000F1476" w:rsidRPr="00C0170F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Matt Judd</w:t>
            </w:r>
          </w:p>
        </w:tc>
        <w:tc>
          <w:tcPr>
            <w:tcW w:w="1146" w:type="dxa"/>
          </w:tcPr>
          <w:p w:rsidR="00AA6610" w:rsidRPr="00C0170F" w:rsidRDefault="00BF18EB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2015-18</w:t>
            </w:r>
            <w:r w:rsidR="00F21F54" w:rsidRPr="00C017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F1476" w:rsidRPr="00C0170F" w:rsidTr="003C5649">
        <w:tc>
          <w:tcPr>
            <w:tcW w:w="522" w:type="dxa"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28" w:type="dxa"/>
            <w:vMerge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F1476" w:rsidRPr="00C0170F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 xml:space="preserve">Jeanne-Marie </w:t>
            </w:r>
            <w:proofErr w:type="spellStart"/>
            <w:r w:rsidRPr="00C0170F">
              <w:rPr>
                <w:rFonts w:ascii="Arial" w:hAnsi="Arial" w:cs="Arial"/>
                <w:sz w:val="22"/>
                <w:szCs w:val="22"/>
              </w:rPr>
              <w:t>Velickovic</w:t>
            </w:r>
            <w:proofErr w:type="spellEnd"/>
          </w:p>
        </w:tc>
        <w:tc>
          <w:tcPr>
            <w:tcW w:w="1146" w:type="dxa"/>
          </w:tcPr>
          <w:p w:rsidR="000F1476" w:rsidRPr="00C0170F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2015-17</w:t>
            </w:r>
          </w:p>
        </w:tc>
      </w:tr>
      <w:tr w:rsidR="000F1476" w:rsidRPr="00C0170F" w:rsidTr="003C5649">
        <w:tc>
          <w:tcPr>
            <w:tcW w:w="522" w:type="dxa"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28" w:type="dxa"/>
          </w:tcPr>
          <w:p w:rsidR="000F1476" w:rsidRPr="00C0170F" w:rsidRDefault="000F1476" w:rsidP="00C0170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Director, Facilities Planning &amp; Management</w:t>
            </w:r>
            <w:r w:rsidR="00BF18EB" w:rsidRPr="00C017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8EB" w:rsidRPr="00AF1D81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3140" w:type="dxa"/>
            <w:gridSpan w:val="2"/>
          </w:tcPr>
          <w:p w:rsidR="000F1476" w:rsidRPr="00C0170F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 xml:space="preserve">Gary </w:t>
            </w:r>
            <w:proofErr w:type="spellStart"/>
            <w:r w:rsidRPr="00C0170F">
              <w:rPr>
                <w:rFonts w:ascii="Arial" w:hAnsi="Arial" w:cs="Arial"/>
                <w:sz w:val="22"/>
                <w:szCs w:val="22"/>
              </w:rPr>
              <w:t>Nellesen</w:t>
            </w:r>
            <w:proofErr w:type="spellEnd"/>
          </w:p>
        </w:tc>
        <w:tc>
          <w:tcPr>
            <w:tcW w:w="1146" w:type="dxa"/>
          </w:tcPr>
          <w:p w:rsidR="000F1476" w:rsidRPr="00C0170F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o</w:t>
            </w:r>
            <w:r w:rsidR="000F1476" w:rsidRPr="00C0170F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0F1476" w:rsidRPr="00C0170F" w:rsidTr="003C5649">
        <w:tc>
          <w:tcPr>
            <w:tcW w:w="522" w:type="dxa"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28" w:type="dxa"/>
            <w:vMerge w:val="restart"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 xml:space="preserve">Faculty (appointed by </w:t>
            </w:r>
            <w:r w:rsidR="00C0170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0170F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proofErr w:type="spellStart"/>
            <w:r w:rsidRPr="00C0170F">
              <w:rPr>
                <w:rFonts w:ascii="Arial" w:hAnsi="Arial" w:cs="Arial"/>
                <w:sz w:val="22"/>
                <w:szCs w:val="22"/>
              </w:rPr>
              <w:t>Sena</w:t>
            </w:r>
            <w:r w:rsidR="00AF1D81">
              <w:rPr>
                <w:rFonts w:ascii="Arial" w:hAnsi="Arial" w:cs="Arial"/>
                <w:sz w:val="22"/>
                <w:szCs w:val="22"/>
              </w:rPr>
              <w:t>m</w:t>
            </w:r>
            <w:r w:rsidRPr="00C0170F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C017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  <w:gridSpan w:val="2"/>
          </w:tcPr>
          <w:p w:rsidR="000F1476" w:rsidRPr="00C0170F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 xml:space="preserve">Kamran </w:t>
            </w:r>
            <w:proofErr w:type="spellStart"/>
            <w:r w:rsidRPr="00C0170F">
              <w:rPr>
                <w:rFonts w:ascii="Arial" w:hAnsi="Arial" w:cs="Arial"/>
                <w:sz w:val="22"/>
                <w:szCs w:val="22"/>
              </w:rPr>
              <w:t>Golestaneh</w:t>
            </w:r>
            <w:proofErr w:type="spellEnd"/>
          </w:p>
        </w:tc>
        <w:tc>
          <w:tcPr>
            <w:tcW w:w="1146" w:type="dxa"/>
          </w:tcPr>
          <w:p w:rsidR="00F21F54" w:rsidRPr="00AF1D81" w:rsidRDefault="00F21F54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</w:t>
            </w:r>
            <w:r w:rsidR="003C5649" w:rsidRPr="00AF1D81">
              <w:rPr>
                <w:rFonts w:ascii="Arial" w:hAnsi="Arial" w:cs="Arial"/>
                <w:sz w:val="22"/>
                <w:szCs w:val="22"/>
              </w:rPr>
              <w:t>16-</w:t>
            </w:r>
            <w:r w:rsidR="003D1119" w:rsidRPr="00AF1D8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3950D9" w:rsidRPr="00C0170F" w:rsidTr="003950D9">
        <w:tc>
          <w:tcPr>
            <w:tcW w:w="522" w:type="dxa"/>
          </w:tcPr>
          <w:p w:rsidR="003950D9" w:rsidRPr="00C0170F" w:rsidRDefault="003950D9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28" w:type="dxa"/>
            <w:vMerge/>
          </w:tcPr>
          <w:p w:rsidR="003950D9" w:rsidRPr="00C0170F" w:rsidRDefault="003950D9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right w:val="nil"/>
            </w:tcBorders>
          </w:tcPr>
          <w:p w:rsidR="003950D9" w:rsidRPr="00C0170F" w:rsidRDefault="003950D9" w:rsidP="003950D9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(Chair)</w:t>
            </w:r>
          </w:p>
        </w:tc>
        <w:tc>
          <w:tcPr>
            <w:tcW w:w="2197" w:type="dxa"/>
            <w:tcBorders>
              <w:left w:val="nil"/>
            </w:tcBorders>
          </w:tcPr>
          <w:p w:rsidR="003950D9" w:rsidRPr="00C0170F" w:rsidRDefault="003950D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James Stone</w:t>
            </w:r>
          </w:p>
        </w:tc>
        <w:tc>
          <w:tcPr>
            <w:tcW w:w="1146" w:type="dxa"/>
          </w:tcPr>
          <w:p w:rsidR="003950D9" w:rsidRPr="00AF1D81" w:rsidRDefault="003950D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0F1476" w:rsidRPr="00C0170F" w:rsidTr="003C5649">
        <w:tc>
          <w:tcPr>
            <w:tcW w:w="522" w:type="dxa"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28" w:type="dxa"/>
            <w:vMerge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F1476" w:rsidRPr="00C0170F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70F">
              <w:rPr>
                <w:rFonts w:ascii="Arial" w:hAnsi="Arial" w:cs="Arial"/>
                <w:sz w:val="22"/>
                <w:szCs w:val="22"/>
              </w:rPr>
              <w:t>Chisa</w:t>
            </w:r>
            <w:proofErr w:type="spellEnd"/>
            <w:r w:rsidRPr="00C017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170F">
              <w:rPr>
                <w:rFonts w:ascii="Arial" w:hAnsi="Arial" w:cs="Arial"/>
                <w:sz w:val="22"/>
                <w:szCs w:val="22"/>
              </w:rPr>
              <w:t>Uyeki</w:t>
            </w:r>
            <w:proofErr w:type="spellEnd"/>
          </w:p>
        </w:tc>
        <w:tc>
          <w:tcPr>
            <w:tcW w:w="1146" w:type="dxa"/>
          </w:tcPr>
          <w:p w:rsidR="003C564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2015-17</w:t>
            </w:r>
          </w:p>
        </w:tc>
      </w:tr>
      <w:tr w:rsidR="000F1476" w:rsidRPr="00C0170F" w:rsidTr="003C5649">
        <w:tc>
          <w:tcPr>
            <w:tcW w:w="522" w:type="dxa"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28" w:type="dxa"/>
            <w:vMerge/>
          </w:tcPr>
          <w:p w:rsidR="000F1476" w:rsidRPr="00C0170F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0F1476" w:rsidRPr="00C0170F" w:rsidRDefault="000F1476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>Chris Briggs</w:t>
            </w:r>
          </w:p>
        </w:tc>
        <w:tc>
          <w:tcPr>
            <w:tcW w:w="1146" w:type="dxa"/>
          </w:tcPr>
          <w:p w:rsidR="003C5649" w:rsidRPr="00AF1D81" w:rsidRDefault="003C5649" w:rsidP="00C0170F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2016-</w:t>
            </w:r>
            <w:r w:rsidR="003D1119" w:rsidRPr="00AF1D8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AF1D81" w:rsidRPr="00AF1D81" w:rsidTr="003C5649">
        <w:tc>
          <w:tcPr>
            <w:tcW w:w="522" w:type="dxa"/>
          </w:tcPr>
          <w:p w:rsidR="003D1119" w:rsidRPr="00AF1D81" w:rsidRDefault="003D1119" w:rsidP="00C0170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1D81">
              <w:rPr>
                <w:rFonts w:ascii="Arial" w:hAnsi="Arial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5128" w:type="dxa"/>
          </w:tcPr>
          <w:p w:rsidR="003D1119" w:rsidRPr="00AF1D81" w:rsidRDefault="003D1119" w:rsidP="00C0170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1D81">
              <w:rPr>
                <w:rFonts w:ascii="Arial" w:hAnsi="Arial" w:cs="Arial"/>
                <w:color w:val="000000" w:themeColor="text1"/>
                <w:sz w:val="22"/>
                <w:szCs w:val="22"/>
              </w:rPr>
              <w:t>Classified (appointed by CSEA 262 or 651)</w:t>
            </w:r>
          </w:p>
        </w:tc>
        <w:tc>
          <w:tcPr>
            <w:tcW w:w="3140" w:type="dxa"/>
            <w:gridSpan w:val="2"/>
          </w:tcPr>
          <w:p w:rsidR="003D1119" w:rsidRPr="00AF1D81" w:rsidRDefault="003D1119" w:rsidP="00C0170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1D81">
              <w:rPr>
                <w:rFonts w:ascii="Arial" w:hAnsi="Arial" w:cs="Arial"/>
                <w:color w:val="000000" w:themeColor="text1"/>
                <w:sz w:val="22"/>
                <w:szCs w:val="22"/>
              </w:rPr>
              <w:t>Vacant</w:t>
            </w:r>
          </w:p>
        </w:tc>
        <w:tc>
          <w:tcPr>
            <w:tcW w:w="1146" w:type="dxa"/>
          </w:tcPr>
          <w:p w:rsidR="003D1119" w:rsidRPr="00AF1D81" w:rsidRDefault="003D1119" w:rsidP="00C0170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1D81">
              <w:rPr>
                <w:rFonts w:ascii="Arial" w:hAnsi="Arial" w:cs="Arial"/>
                <w:color w:val="000000" w:themeColor="text1"/>
                <w:sz w:val="22"/>
                <w:szCs w:val="22"/>
              </w:rPr>
              <w:t>2015-18</w:t>
            </w:r>
          </w:p>
        </w:tc>
      </w:tr>
      <w:tr w:rsidR="003D1119" w:rsidRPr="00AF1D81" w:rsidTr="003C5649">
        <w:tc>
          <w:tcPr>
            <w:tcW w:w="522" w:type="dxa"/>
          </w:tcPr>
          <w:p w:rsidR="004234B4" w:rsidRPr="00AF1D81" w:rsidRDefault="00AF1D81" w:rsidP="00C01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234B4" w:rsidRPr="00AF1D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</w:tcPr>
          <w:p w:rsidR="004234B4" w:rsidRPr="00AF1D81" w:rsidRDefault="003D1119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  <w:tc>
          <w:tcPr>
            <w:tcW w:w="3140" w:type="dxa"/>
            <w:gridSpan w:val="2"/>
          </w:tcPr>
          <w:p w:rsidR="004234B4" w:rsidRPr="00AF1D81" w:rsidRDefault="003C564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 xml:space="preserve">Melissa </w:t>
            </w:r>
            <w:proofErr w:type="spellStart"/>
            <w:r w:rsidRPr="00AF1D81">
              <w:rPr>
                <w:rFonts w:ascii="Arial" w:hAnsi="Arial" w:cs="Arial"/>
                <w:sz w:val="22"/>
                <w:szCs w:val="22"/>
              </w:rPr>
              <w:t>Barcelo</w:t>
            </w:r>
            <w:proofErr w:type="spellEnd"/>
          </w:p>
        </w:tc>
        <w:tc>
          <w:tcPr>
            <w:tcW w:w="1146" w:type="dxa"/>
          </w:tcPr>
          <w:p w:rsidR="004234B4" w:rsidRPr="00AF1D81" w:rsidRDefault="004234B4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3D1119" w:rsidRPr="00C0170F" w:rsidTr="003C5649">
        <w:tc>
          <w:tcPr>
            <w:tcW w:w="522" w:type="dxa"/>
          </w:tcPr>
          <w:p w:rsidR="003D1119" w:rsidRPr="00C0170F" w:rsidRDefault="00AF1D81" w:rsidP="00C01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D1119" w:rsidRPr="00C017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  <w:vMerge w:val="restart"/>
          </w:tcPr>
          <w:p w:rsidR="003D1119" w:rsidRPr="00C0170F" w:rsidRDefault="003D1119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C0170F">
              <w:rPr>
                <w:rFonts w:ascii="Arial" w:hAnsi="Arial" w:cs="Arial"/>
                <w:sz w:val="22"/>
                <w:szCs w:val="22"/>
              </w:rPr>
              <w:t xml:space="preserve">Students (appointed by </w:t>
            </w:r>
            <w:r w:rsidR="00C0170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0170F">
              <w:rPr>
                <w:rFonts w:ascii="Arial" w:hAnsi="Arial" w:cs="Arial"/>
                <w:sz w:val="22"/>
                <w:szCs w:val="22"/>
              </w:rPr>
              <w:t>Associated Students President)</w:t>
            </w:r>
          </w:p>
        </w:tc>
        <w:tc>
          <w:tcPr>
            <w:tcW w:w="3140" w:type="dxa"/>
            <w:gridSpan w:val="2"/>
          </w:tcPr>
          <w:p w:rsidR="003D111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Eric Stubbs</w:t>
            </w:r>
          </w:p>
        </w:tc>
        <w:tc>
          <w:tcPr>
            <w:tcW w:w="1146" w:type="dxa"/>
          </w:tcPr>
          <w:p w:rsidR="003D111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  <w:tr w:rsidR="000F1476" w:rsidRPr="00AF1D81" w:rsidTr="003C5649">
        <w:tc>
          <w:tcPr>
            <w:tcW w:w="522" w:type="dxa"/>
          </w:tcPr>
          <w:p w:rsidR="000F1476" w:rsidRPr="00AF1D81" w:rsidRDefault="00AF1D81" w:rsidP="00C01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3D1119" w:rsidRPr="00AF1D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  <w:vMerge/>
          </w:tcPr>
          <w:p w:rsidR="000F1476" w:rsidRPr="00AF1D81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3C564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1D81">
              <w:rPr>
                <w:rFonts w:ascii="Arial" w:hAnsi="Arial" w:cs="Arial"/>
                <w:sz w:val="22"/>
                <w:szCs w:val="22"/>
              </w:rPr>
              <w:t>Aneca</w:t>
            </w:r>
            <w:proofErr w:type="spellEnd"/>
            <w:r w:rsidRPr="00AF1D8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1D81">
              <w:rPr>
                <w:rFonts w:ascii="Arial" w:hAnsi="Arial" w:cs="Arial"/>
                <w:sz w:val="22"/>
                <w:szCs w:val="22"/>
              </w:rPr>
              <w:t>Nuyda</w:t>
            </w:r>
            <w:proofErr w:type="spellEnd"/>
            <w:r w:rsidRPr="00AF1D81">
              <w:rPr>
                <w:rFonts w:ascii="Arial" w:hAnsi="Arial" w:cs="Arial"/>
                <w:sz w:val="22"/>
                <w:szCs w:val="22"/>
              </w:rPr>
              <w:t xml:space="preserve"> or designee</w:t>
            </w:r>
          </w:p>
        </w:tc>
        <w:tc>
          <w:tcPr>
            <w:tcW w:w="1146" w:type="dxa"/>
          </w:tcPr>
          <w:p w:rsidR="003C564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  <w:tr w:rsidR="003D1119" w:rsidRPr="00AF1D81" w:rsidTr="003D1119">
        <w:trPr>
          <w:trHeight w:val="255"/>
        </w:trPr>
        <w:tc>
          <w:tcPr>
            <w:tcW w:w="522" w:type="dxa"/>
          </w:tcPr>
          <w:p w:rsidR="003D1119" w:rsidRPr="00AF1D81" w:rsidRDefault="00AF1D81" w:rsidP="00C017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3D1119" w:rsidRPr="00AF1D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  <w:vMerge w:val="restart"/>
          </w:tcPr>
          <w:p w:rsidR="003D1119" w:rsidRPr="00AF1D81" w:rsidRDefault="003D1119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Students from Environmental Clubs</w:t>
            </w:r>
          </w:p>
        </w:tc>
        <w:tc>
          <w:tcPr>
            <w:tcW w:w="3140" w:type="dxa"/>
            <w:gridSpan w:val="2"/>
          </w:tcPr>
          <w:p w:rsidR="003D111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Dayna Denver</w:t>
            </w:r>
          </w:p>
        </w:tc>
        <w:tc>
          <w:tcPr>
            <w:tcW w:w="1146" w:type="dxa"/>
          </w:tcPr>
          <w:p w:rsidR="003D111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  <w:tr w:rsidR="003D1119" w:rsidRPr="00AF1D81" w:rsidTr="003C5649">
        <w:trPr>
          <w:trHeight w:val="255"/>
        </w:trPr>
        <w:tc>
          <w:tcPr>
            <w:tcW w:w="522" w:type="dxa"/>
          </w:tcPr>
          <w:p w:rsidR="003D1119" w:rsidRPr="00AF1D81" w:rsidRDefault="003D1119" w:rsidP="00AF1D81">
            <w:pPr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1</w:t>
            </w:r>
            <w:r w:rsidR="00AF1D81">
              <w:rPr>
                <w:rFonts w:ascii="Arial" w:hAnsi="Arial" w:cs="Arial"/>
                <w:sz w:val="22"/>
                <w:szCs w:val="22"/>
              </w:rPr>
              <w:t>3</w:t>
            </w:r>
            <w:r w:rsidRPr="00AF1D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28" w:type="dxa"/>
            <w:vMerge/>
          </w:tcPr>
          <w:p w:rsidR="003D1119" w:rsidRPr="00AF1D81" w:rsidRDefault="003D1119" w:rsidP="00C0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  <w:gridSpan w:val="2"/>
          </w:tcPr>
          <w:p w:rsidR="003D111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 xml:space="preserve">Rene </w:t>
            </w:r>
            <w:proofErr w:type="spellStart"/>
            <w:r w:rsidRPr="00AF1D81">
              <w:rPr>
                <w:rFonts w:ascii="Arial" w:hAnsi="Arial" w:cs="Arial"/>
                <w:sz w:val="22"/>
                <w:szCs w:val="22"/>
              </w:rPr>
              <w:t>Jiminez</w:t>
            </w:r>
            <w:proofErr w:type="spellEnd"/>
          </w:p>
        </w:tc>
        <w:tc>
          <w:tcPr>
            <w:tcW w:w="1146" w:type="dxa"/>
          </w:tcPr>
          <w:p w:rsidR="003D1119" w:rsidRPr="00AF1D81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D81">
              <w:rPr>
                <w:rFonts w:ascii="Arial" w:hAnsi="Arial" w:cs="Arial"/>
                <w:sz w:val="22"/>
                <w:szCs w:val="22"/>
              </w:rPr>
              <w:t>2016-17</w:t>
            </w:r>
          </w:p>
        </w:tc>
      </w:tr>
    </w:tbl>
    <w:p w:rsidR="00FB4BAB" w:rsidRPr="00AF1D81" w:rsidRDefault="00FB4BAB" w:rsidP="00C0170F">
      <w:pPr>
        <w:rPr>
          <w:rFonts w:ascii="Arial" w:hAnsi="Arial" w:cs="Arial"/>
          <w:sz w:val="22"/>
          <w:szCs w:val="22"/>
        </w:rPr>
      </w:pPr>
    </w:p>
    <w:p w:rsidR="003D1119" w:rsidRPr="00C0170F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C0170F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3D1119" w:rsidRPr="00C0170F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3D1119" w:rsidRPr="00C0170F" w:rsidTr="003D1119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C0170F" w:rsidRDefault="003D1119" w:rsidP="00C0170F">
            <w:pPr>
              <w:keepNext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3D1119" w:rsidRPr="00C0170F" w:rsidTr="003D1119">
        <w:tc>
          <w:tcPr>
            <w:tcW w:w="973" w:type="pct"/>
            <w:shd w:val="clear" w:color="auto" w:fill="auto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Governance</w:t>
            </w:r>
          </w:p>
        </w:tc>
        <w:tc>
          <w:tcPr>
            <w:tcW w:w="775" w:type="pct"/>
            <w:shd w:val="clear" w:color="auto" w:fill="auto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James Stone</w:t>
            </w:r>
          </w:p>
        </w:tc>
        <w:tc>
          <w:tcPr>
            <w:tcW w:w="1393" w:type="pct"/>
            <w:shd w:val="clear" w:color="auto" w:fill="auto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2</w:t>
            </w:r>
            <w:r w:rsidRPr="00C0170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C0170F">
              <w:rPr>
                <w:rFonts w:ascii="Arial" w:hAnsi="Arial" w:cs="Arial"/>
                <w:sz w:val="18"/>
                <w:szCs w:val="18"/>
              </w:rPr>
              <w:t xml:space="preserve"> Friday of the month</w:t>
            </w:r>
          </w:p>
        </w:tc>
        <w:tc>
          <w:tcPr>
            <w:tcW w:w="1028" w:type="pct"/>
            <w:shd w:val="clear" w:color="auto" w:fill="auto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4-2440</w:t>
            </w:r>
          </w:p>
        </w:tc>
        <w:tc>
          <w:tcPr>
            <w:tcW w:w="831" w:type="pct"/>
            <w:shd w:val="clear" w:color="auto" w:fill="auto"/>
          </w:tcPr>
          <w:p w:rsidR="003D1119" w:rsidRPr="00C0170F" w:rsidRDefault="003D1119" w:rsidP="00C01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70F">
              <w:rPr>
                <w:rFonts w:ascii="Arial" w:hAnsi="Arial" w:cs="Arial"/>
                <w:sz w:val="18"/>
                <w:szCs w:val="18"/>
              </w:rPr>
              <w:t>10:00-11:30 a.m.</w:t>
            </w:r>
          </w:p>
        </w:tc>
      </w:tr>
    </w:tbl>
    <w:p w:rsidR="003D1119" w:rsidRPr="00C0170F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3D1119" w:rsidRPr="00C0170F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C0170F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C0170F">
        <w:rPr>
          <w:rFonts w:ascii="Arial" w:hAnsi="Arial" w:cs="Arial"/>
          <w:spacing w:val="-3"/>
          <w:sz w:val="22"/>
          <w:szCs w:val="22"/>
        </w:rPr>
        <w:tab/>
        <w:t>TBD</w:t>
      </w:r>
    </w:p>
    <w:p w:rsidR="003D1119" w:rsidRPr="00C0170F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C0170F">
        <w:rPr>
          <w:rFonts w:ascii="Arial" w:hAnsi="Arial" w:cs="Arial"/>
          <w:spacing w:val="-3"/>
          <w:sz w:val="22"/>
          <w:szCs w:val="22"/>
        </w:rPr>
        <w:tab/>
      </w:r>
    </w:p>
    <w:p w:rsidR="003D1119" w:rsidRPr="00C0170F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C0170F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:rsidR="003D1119" w:rsidRPr="00C0170F" w:rsidRDefault="000074CD" w:rsidP="00C0170F">
      <w:pPr>
        <w:rPr>
          <w:rStyle w:val="Hyperlink"/>
          <w:rFonts w:ascii="Arial" w:hAnsi="Arial" w:cs="Arial"/>
          <w:spacing w:val="-3"/>
          <w:sz w:val="22"/>
          <w:szCs w:val="22"/>
        </w:rPr>
      </w:pPr>
      <w:hyperlink r:id="rId8" w:history="1">
        <w:r w:rsidR="003D1119" w:rsidRPr="00C0170F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www.mtsac.edu/sustainability</w:t>
        </w:r>
      </w:hyperlink>
    </w:p>
    <w:p w:rsidR="003D1119" w:rsidRPr="00C0170F" w:rsidRDefault="003D1119" w:rsidP="00C0170F">
      <w:pPr>
        <w:rPr>
          <w:rFonts w:ascii="Arial" w:hAnsi="Arial" w:cs="Arial"/>
          <w:sz w:val="22"/>
          <w:szCs w:val="22"/>
        </w:rPr>
      </w:pPr>
    </w:p>
    <w:p w:rsidR="00FC1CAF" w:rsidRPr="00C0170F" w:rsidRDefault="003C5649" w:rsidP="00C0170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r w:rsidRPr="00AF1D81">
        <w:rPr>
          <w:rFonts w:ascii="Arial" w:hAnsi="Arial" w:cs="Arial"/>
          <w:spacing w:val="-3"/>
          <w:sz w:val="22"/>
          <w:szCs w:val="22"/>
        </w:rPr>
        <w:t xml:space="preserve">Carbon </w:t>
      </w:r>
      <w:r w:rsidR="00FC1CAF" w:rsidRPr="00C0170F">
        <w:rPr>
          <w:rFonts w:ascii="Arial" w:hAnsi="Arial" w:cs="Arial"/>
          <w:spacing w:val="-3"/>
          <w:sz w:val="22"/>
          <w:szCs w:val="22"/>
        </w:rPr>
        <w:t>Commitment text: http://www.presidentsclimatecommitment.org/about/commitment</w:t>
      </w:r>
    </w:p>
    <w:p w:rsidR="00FC1CAF" w:rsidRPr="00C0170F" w:rsidRDefault="00FC1CAF" w:rsidP="00C0170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</w:p>
    <w:sectPr w:rsidR="00FC1CAF" w:rsidRPr="00C0170F" w:rsidSect="00FB4BAB"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CD" w:rsidRDefault="000074CD" w:rsidP="00922A5E">
      <w:r>
        <w:separator/>
      </w:r>
    </w:p>
  </w:endnote>
  <w:endnote w:type="continuationSeparator" w:id="0">
    <w:p w:rsidR="000074CD" w:rsidRDefault="000074CD" w:rsidP="009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5E" w:rsidRPr="00922A5E" w:rsidRDefault="003D111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2016-17</w:t>
    </w:r>
  </w:p>
  <w:p w:rsidR="00922A5E" w:rsidRPr="00922A5E" w:rsidRDefault="00922A5E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CD" w:rsidRDefault="000074CD" w:rsidP="00922A5E">
      <w:r>
        <w:separator/>
      </w:r>
    </w:p>
  </w:footnote>
  <w:footnote w:type="continuationSeparator" w:id="0">
    <w:p w:rsidR="000074CD" w:rsidRDefault="000074CD" w:rsidP="0092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AB"/>
    <w:rsid w:val="000019DC"/>
    <w:rsid w:val="000074CD"/>
    <w:rsid w:val="00053C5B"/>
    <w:rsid w:val="00074E71"/>
    <w:rsid w:val="00080104"/>
    <w:rsid w:val="00083438"/>
    <w:rsid w:val="00086C80"/>
    <w:rsid w:val="000914C5"/>
    <w:rsid w:val="000A3EBC"/>
    <w:rsid w:val="000B2021"/>
    <w:rsid w:val="000C62DE"/>
    <w:rsid w:val="000F1476"/>
    <w:rsid w:val="001629ED"/>
    <w:rsid w:val="0016700C"/>
    <w:rsid w:val="001671B9"/>
    <w:rsid w:val="001A04FE"/>
    <w:rsid w:val="001E3904"/>
    <w:rsid w:val="001F5EFF"/>
    <w:rsid w:val="002126E0"/>
    <w:rsid w:val="002260DA"/>
    <w:rsid w:val="002551D6"/>
    <w:rsid w:val="0025762A"/>
    <w:rsid w:val="002C24C3"/>
    <w:rsid w:val="002D7D02"/>
    <w:rsid w:val="002E23B8"/>
    <w:rsid w:val="002F428E"/>
    <w:rsid w:val="00305F2C"/>
    <w:rsid w:val="00344651"/>
    <w:rsid w:val="00367F97"/>
    <w:rsid w:val="00382EC2"/>
    <w:rsid w:val="0039348F"/>
    <w:rsid w:val="003950D9"/>
    <w:rsid w:val="003A7B95"/>
    <w:rsid w:val="003C5649"/>
    <w:rsid w:val="003D1119"/>
    <w:rsid w:val="003D6F1D"/>
    <w:rsid w:val="003F44B1"/>
    <w:rsid w:val="00402F43"/>
    <w:rsid w:val="00420819"/>
    <w:rsid w:val="004234B4"/>
    <w:rsid w:val="00487CDA"/>
    <w:rsid w:val="004F06E3"/>
    <w:rsid w:val="004F17EB"/>
    <w:rsid w:val="00520621"/>
    <w:rsid w:val="005735CA"/>
    <w:rsid w:val="005C43DF"/>
    <w:rsid w:val="005E51BF"/>
    <w:rsid w:val="005E5875"/>
    <w:rsid w:val="005E61ED"/>
    <w:rsid w:val="005F0C01"/>
    <w:rsid w:val="005F7AF4"/>
    <w:rsid w:val="00650A2D"/>
    <w:rsid w:val="00652DF2"/>
    <w:rsid w:val="006806CA"/>
    <w:rsid w:val="00682D8C"/>
    <w:rsid w:val="006B61B0"/>
    <w:rsid w:val="006D5A54"/>
    <w:rsid w:val="006E7D00"/>
    <w:rsid w:val="0071474B"/>
    <w:rsid w:val="00736E71"/>
    <w:rsid w:val="00791288"/>
    <w:rsid w:val="00865D3F"/>
    <w:rsid w:val="00895E68"/>
    <w:rsid w:val="008964EE"/>
    <w:rsid w:val="00897E05"/>
    <w:rsid w:val="008E343E"/>
    <w:rsid w:val="00922A5E"/>
    <w:rsid w:val="009A2543"/>
    <w:rsid w:val="009C337C"/>
    <w:rsid w:val="00A93A08"/>
    <w:rsid w:val="00A96D54"/>
    <w:rsid w:val="00AA6610"/>
    <w:rsid w:val="00AB7933"/>
    <w:rsid w:val="00AD60EF"/>
    <w:rsid w:val="00AF1D81"/>
    <w:rsid w:val="00B42318"/>
    <w:rsid w:val="00B662C5"/>
    <w:rsid w:val="00BC5592"/>
    <w:rsid w:val="00BD71D3"/>
    <w:rsid w:val="00BF18EB"/>
    <w:rsid w:val="00BF2CA5"/>
    <w:rsid w:val="00C0170F"/>
    <w:rsid w:val="00C03CE2"/>
    <w:rsid w:val="00C4082D"/>
    <w:rsid w:val="00C60F5B"/>
    <w:rsid w:val="00CA0DE0"/>
    <w:rsid w:val="00CC1186"/>
    <w:rsid w:val="00D11AE2"/>
    <w:rsid w:val="00D462A2"/>
    <w:rsid w:val="00DB4775"/>
    <w:rsid w:val="00DC7E1A"/>
    <w:rsid w:val="00DE006B"/>
    <w:rsid w:val="00E43000"/>
    <w:rsid w:val="00E952D8"/>
    <w:rsid w:val="00F13DB0"/>
    <w:rsid w:val="00F21F54"/>
    <w:rsid w:val="00F32938"/>
    <w:rsid w:val="00F53CBB"/>
    <w:rsid w:val="00F84D88"/>
    <w:rsid w:val="00FB4BAB"/>
    <w:rsid w:val="00FC021F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3C504-4DB6-4D16-B00C-8A68B00F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AB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table" w:styleId="TableGrid">
    <w:name w:val="Table Grid"/>
    <w:basedOn w:val="TableNormal"/>
    <w:rsid w:val="00FB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4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76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76"/>
    <w:rPr>
      <w:rFonts w:ascii="Palatino" w:eastAsia="Times New Roman" w:hAnsi="Palatin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1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sustaina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D4D5-62F0-4268-8F98-41624669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3</cp:revision>
  <cp:lastPrinted>2016-10-19T16:59:00Z</cp:lastPrinted>
  <dcterms:created xsi:type="dcterms:W3CDTF">2016-11-15T16:32:00Z</dcterms:created>
  <dcterms:modified xsi:type="dcterms:W3CDTF">2016-11-15T16:34:00Z</dcterms:modified>
</cp:coreProperties>
</file>