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26" w:rsidRPr="00525530" w:rsidRDefault="00236380" w:rsidP="009E62C9">
      <w:pPr>
        <w:pStyle w:val="Title"/>
        <w:rPr>
          <w:rFonts w:asciiTheme="minorHAnsi" w:hAnsiTheme="minorHAnsi" w:cstheme="minorHAnsi"/>
          <w:b/>
          <w:sz w:val="28"/>
          <w:szCs w:val="28"/>
        </w:rPr>
      </w:pPr>
      <w:r w:rsidRPr="00525530">
        <w:rPr>
          <w:rFonts w:asciiTheme="minorHAnsi" w:hAnsiTheme="minorHAnsi" w:cstheme="minorHAnsi"/>
          <w:b/>
          <w:sz w:val="28"/>
          <w:szCs w:val="28"/>
        </w:rPr>
        <w:t xml:space="preserve">Mt. San Antonio College </w:t>
      </w:r>
      <w:r w:rsidR="001A0074" w:rsidRPr="00525530">
        <w:rPr>
          <w:rFonts w:asciiTheme="minorHAnsi" w:hAnsiTheme="minorHAnsi" w:cstheme="minorHAnsi"/>
          <w:b/>
          <w:sz w:val="28"/>
          <w:szCs w:val="28"/>
        </w:rPr>
        <w:t>Assessment Que</w:t>
      </w:r>
      <w:r w:rsidR="00146B26" w:rsidRPr="00525530">
        <w:rPr>
          <w:rFonts w:asciiTheme="minorHAnsi" w:hAnsiTheme="minorHAnsi" w:cstheme="minorHAnsi"/>
          <w:b/>
          <w:sz w:val="28"/>
          <w:szCs w:val="28"/>
        </w:rPr>
        <w:t xml:space="preserve">stionnaire </w:t>
      </w:r>
      <w:r w:rsidR="001A0074" w:rsidRPr="00525530">
        <w:rPr>
          <w:rFonts w:asciiTheme="minorHAnsi" w:hAnsiTheme="minorHAnsi" w:cstheme="minorHAnsi"/>
          <w:b/>
          <w:sz w:val="28"/>
          <w:szCs w:val="28"/>
        </w:rPr>
        <w:t xml:space="preserve">(AQ) </w:t>
      </w:r>
      <w:r w:rsidR="00146B26" w:rsidRPr="00525530">
        <w:rPr>
          <w:rFonts w:asciiTheme="minorHAnsi" w:hAnsiTheme="minorHAnsi" w:cstheme="minorHAnsi"/>
          <w:b/>
          <w:sz w:val="28"/>
          <w:szCs w:val="28"/>
        </w:rPr>
        <w:t xml:space="preserve">Placement Distributions by </w:t>
      </w:r>
      <w:r w:rsidRPr="00525530">
        <w:rPr>
          <w:rFonts w:asciiTheme="minorHAnsi" w:hAnsiTheme="minorHAnsi" w:cstheme="minorHAnsi"/>
          <w:b/>
          <w:sz w:val="28"/>
          <w:szCs w:val="28"/>
        </w:rPr>
        <w:t>Subject</w:t>
      </w:r>
      <w:r w:rsidR="00C968F9">
        <w:rPr>
          <w:rFonts w:asciiTheme="minorHAnsi" w:hAnsiTheme="minorHAnsi" w:cstheme="minorHAnsi"/>
          <w:b/>
          <w:sz w:val="28"/>
          <w:szCs w:val="28"/>
        </w:rPr>
        <w:t xml:space="preserve"> (Unduplicated Student Headc</w:t>
      </w:r>
      <w:r w:rsidR="00146B26" w:rsidRPr="00525530">
        <w:rPr>
          <w:rFonts w:asciiTheme="minorHAnsi" w:hAnsiTheme="minorHAnsi" w:cstheme="minorHAnsi"/>
          <w:b/>
          <w:sz w:val="28"/>
          <w:szCs w:val="28"/>
        </w:rPr>
        <w:t xml:space="preserve">ount </w:t>
      </w:r>
      <w:r w:rsidR="001A0074" w:rsidRPr="00525530">
        <w:rPr>
          <w:rFonts w:asciiTheme="minorHAnsi" w:hAnsiTheme="minorHAnsi" w:cstheme="minorHAnsi"/>
          <w:b/>
          <w:sz w:val="28"/>
          <w:szCs w:val="28"/>
        </w:rPr>
        <w:t>of Phase 2</w:t>
      </w:r>
      <w:r w:rsidR="00146B26" w:rsidRPr="00525530">
        <w:rPr>
          <w:rFonts w:asciiTheme="minorHAnsi" w:hAnsiTheme="minorHAnsi" w:cstheme="minorHAnsi"/>
          <w:b/>
          <w:sz w:val="28"/>
          <w:szCs w:val="28"/>
        </w:rPr>
        <w:t xml:space="preserve"> Implementation)</w:t>
      </w:r>
    </w:p>
    <w:p w:rsidR="009E62C9" w:rsidRPr="00EC5ADF" w:rsidRDefault="009E62C9" w:rsidP="00146B26">
      <w:pPr>
        <w:rPr>
          <w:sz w:val="20"/>
          <w:szCs w:val="20"/>
        </w:rPr>
      </w:pPr>
    </w:p>
    <w:p w:rsidR="00146B26" w:rsidRPr="00525530" w:rsidRDefault="001A72F2" w:rsidP="00166AC8">
      <w:pPr>
        <w:pStyle w:val="Subtitle"/>
        <w:spacing w:after="0"/>
        <w:rPr>
          <w:rFonts w:cstheme="minorHAnsi"/>
          <w:color w:val="auto"/>
          <w:sz w:val="24"/>
          <w:szCs w:val="24"/>
        </w:rPr>
      </w:pPr>
      <w:r w:rsidRPr="00525530">
        <w:rPr>
          <w:rFonts w:cstheme="minorHAnsi"/>
          <w:color w:val="auto"/>
          <w:sz w:val="24"/>
          <w:szCs w:val="24"/>
        </w:rPr>
        <w:t>Mt.</w:t>
      </w:r>
      <w:r w:rsidR="00C968F9">
        <w:rPr>
          <w:rFonts w:cstheme="minorHAnsi"/>
          <w:color w:val="auto"/>
          <w:sz w:val="24"/>
          <w:szCs w:val="24"/>
        </w:rPr>
        <w:t xml:space="preserve"> </w:t>
      </w:r>
      <w:r w:rsidRPr="00525530">
        <w:rPr>
          <w:rFonts w:cstheme="minorHAnsi"/>
          <w:color w:val="auto"/>
          <w:sz w:val="24"/>
          <w:szCs w:val="24"/>
        </w:rPr>
        <w:t>S</w:t>
      </w:r>
      <w:r w:rsidR="00C968F9">
        <w:rPr>
          <w:rFonts w:cstheme="minorHAnsi"/>
          <w:color w:val="auto"/>
          <w:sz w:val="24"/>
          <w:szCs w:val="24"/>
        </w:rPr>
        <w:t xml:space="preserve">an </w:t>
      </w:r>
      <w:r w:rsidRPr="00525530">
        <w:rPr>
          <w:rFonts w:cstheme="minorHAnsi"/>
          <w:color w:val="auto"/>
          <w:sz w:val="24"/>
          <w:szCs w:val="24"/>
        </w:rPr>
        <w:t>A</w:t>
      </w:r>
      <w:r w:rsidR="00C968F9">
        <w:rPr>
          <w:rFonts w:cstheme="minorHAnsi"/>
          <w:color w:val="auto"/>
          <w:sz w:val="24"/>
          <w:szCs w:val="24"/>
        </w:rPr>
        <w:t xml:space="preserve">ntonio </w:t>
      </w:r>
      <w:r w:rsidRPr="00525530">
        <w:rPr>
          <w:rFonts w:cstheme="minorHAnsi"/>
          <w:color w:val="auto"/>
          <w:sz w:val="24"/>
          <w:szCs w:val="24"/>
        </w:rPr>
        <w:t>C</w:t>
      </w:r>
      <w:r w:rsidR="00C968F9">
        <w:rPr>
          <w:rFonts w:cstheme="minorHAnsi"/>
          <w:color w:val="auto"/>
          <w:sz w:val="24"/>
          <w:szCs w:val="24"/>
        </w:rPr>
        <w:t>ollege</w:t>
      </w:r>
      <w:r w:rsidRPr="00525530">
        <w:rPr>
          <w:rFonts w:cstheme="minorHAnsi"/>
          <w:color w:val="auto"/>
          <w:sz w:val="24"/>
          <w:szCs w:val="24"/>
        </w:rPr>
        <w:t xml:space="preserve"> </w:t>
      </w:r>
      <w:r w:rsidR="00166AC8" w:rsidRPr="00525530">
        <w:rPr>
          <w:rFonts w:cstheme="minorHAnsi"/>
          <w:color w:val="auto"/>
          <w:sz w:val="24"/>
          <w:szCs w:val="24"/>
        </w:rPr>
        <w:t xml:space="preserve">has </w:t>
      </w:r>
      <w:r w:rsidRPr="00525530">
        <w:rPr>
          <w:rFonts w:cstheme="minorHAnsi"/>
          <w:color w:val="auto"/>
          <w:sz w:val="24"/>
          <w:szCs w:val="24"/>
        </w:rPr>
        <w:t xml:space="preserve">developed and implemented the </w:t>
      </w:r>
      <w:r w:rsidR="00C968F9">
        <w:rPr>
          <w:rFonts w:cstheme="minorHAnsi"/>
          <w:color w:val="auto"/>
          <w:sz w:val="24"/>
          <w:szCs w:val="24"/>
        </w:rPr>
        <w:t xml:space="preserve">phase 2 </w:t>
      </w:r>
      <w:r w:rsidRPr="00525530">
        <w:rPr>
          <w:rFonts w:cstheme="minorHAnsi"/>
          <w:color w:val="auto"/>
          <w:sz w:val="24"/>
          <w:szCs w:val="24"/>
        </w:rPr>
        <w:t xml:space="preserve">Assessment Questionnaire (AQ) </w:t>
      </w:r>
      <w:r w:rsidR="00C968F9">
        <w:rPr>
          <w:rFonts w:cstheme="minorHAnsi"/>
          <w:color w:val="auto"/>
          <w:sz w:val="24"/>
          <w:szCs w:val="24"/>
        </w:rPr>
        <w:t xml:space="preserve">since May 7, 2019, </w:t>
      </w:r>
      <w:r w:rsidRPr="00525530">
        <w:rPr>
          <w:rFonts w:cstheme="minorHAnsi"/>
          <w:color w:val="auto"/>
          <w:sz w:val="24"/>
          <w:szCs w:val="24"/>
        </w:rPr>
        <w:t xml:space="preserve">following the AB705 mandates and Multiple Measures Assessment Program (MMAP) placement rules/guidelines by collecting </w:t>
      </w:r>
      <w:r w:rsidR="00166AC8" w:rsidRPr="00525530">
        <w:rPr>
          <w:rFonts w:cstheme="minorHAnsi"/>
          <w:color w:val="auto"/>
          <w:sz w:val="24"/>
          <w:szCs w:val="24"/>
        </w:rPr>
        <w:t xml:space="preserve">self-reported </w:t>
      </w:r>
      <w:r w:rsidRPr="00525530">
        <w:rPr>
          <w:rFonts w:cstheme="minorHAnsi"/>
          <w:color w:val="auto"/>
          <w:sz w:val="24"/>
          <w:szCs w:val="24"/>
        </w:rPr>
        <w:t>students’ US high school transcript information to generate placements in English, math, and reading.  The following tables show the placement results by subject.  Data</w:t>
      </w:r>
      <w:r w:rsidR="00EC5ADF">
        <w:rPr>
          <w:rFonts w:cstheme="minorHAnsi"/>
          <w:color w:val="auto"/>
          <w:sz w:val="24"/>
          <w:szCs w:val="24"/>
        </w:rPr>
        <w:t xml:space="preserve"> were</w:t>
      </w:r>
      <w:r w:rsidR="00166AC8" w:rsidRPr="00525530">
        <w:rPr>
          <w:rFonts w:cstheme="minorHAnsi"/>
          <w:color w:val="auto"/>
          <w:sz w:val="24"/>
          <w:szCs w:val="24"/>
        </w:rPr>
        <w:t xml:space="preserve"> collected from 5/7/2019 to 4/7/2021.</w:t>
      </w:r>
    </w:p>
    <w:p w:rsidR="00166AC8" w:rsidRDefault="00166AC8" w:rsidP="00EC5ADF">
      <w:pPr>
        <w:spacing w:after="0"/>
        <w:rPr>
          <w:sz w:val="16"/>
          <w:szCs w:val="16"/>
        </w:rPr>
      </w:pPr>
    </w:p>
    <w:p w:rsidR="00525530" w:rsidRPr="00525530" w:rsidRDefault="00525530" w:rsidP="00525530">
      <w:pPr>
        <w:pStyle w:val="Heading1"/>
        <w:spacing w:before="40" w:line="240" w:lineRule="auto"/>
        <w:rPr>
          <w:rFonts w:asciiTheme="minorHAnsi" w:hAnsiTheme="minorHAnsi" w:cstheme="minorHAnsi"/>
          <w:sz w:val="24"/>
          <w:szCs w:val="24"/>
        </w:rPr>
      </w:pPr>
      <w:r w:rsidRPr="00166AC8">
        <w:rPr>
          <w:rFonts w:asciiTheme="minorHAnsi" w:hAnsiTheme="minorHAnsi" w:cstheme="minorHAnsi"/>
          <w:sz w:val="24"/>
          <w:szCs w:val="24"/>
        </w:rPr>
        <w:t>TABLE1. ENGL</w:t>
      </w:r>
      <w:r>
        <w:rPr>
          <w:rFonts w:asciiTheme="minorHAnsi" w:hAnsiTheme="minorHAnsi" w:cstheme="minorHAnsi"/>
          <w:sz w:val="24"/>
          <w:szCs w:val="24"/>
        </w:rPr>
        <w:t>ISH</w:t>
      </w:r>
      <w:r w:rsidRPr="00166AC8">
        <w:rPr>
          <w:rFonts w:asciiTheme="minorHAnsi" w:hAnsiTheme="minorHAnsi" w:cstheme="minorHAnsi"/>
          <w:sz w:val="24"/>
          <w:szCs w:val="24"/>
        </w:rPr>
        <w:t>/CREDIT ESL PLACEMENT</w:t>
      </w:r>
    </w:p>
    <w:tbl>
      <w:tblPr>
        <w:tblStyle w:val="TableGrid"/>
        <w:tblW w:w="0" w:type="auto"/>
        <w:tblLook w:val="04A0" w:firstRow="1" w:lastRow="0" w:firstColumn="1" w:lastColumn="0" w:noHBand="0" w:noVBand="1"/>
        <w:tblCaption w:val="English and Credit ESL Placement Distribution by the Assessment Questionnaire"/>
        <w:tblDescription w:val="This table contains the count and percentage of students being placed into each of the eight recommendations generated by the Assessment Questionnaire  in English or credit ESL, based on students' self-reported high school transcript information."/>
      </w:tblPr>
      <w:tblGrid>
        <w:gridCol w:w="5845"/>
        <w:gridCol w:w="1350"/>
        <w:gridCol w:w="1440"/>
      </w:tblGrid>
      <w:tr w:rsidR="00236380" w:rsidRPr="001A72F2" w:rsidTr="00EC5ADF">
        <w:trPr>
          <w:tblHeader/>
        </w:trPr>
        <w:tc>
          <w:tcPr>
            <w:tcW w:w="5845" w:type="dxa"/>
            <w:vAlign w:val="bottom"/>
          </w:tcPr>
          <w:p w:rsidR="00236380" w:rsidRPr="00525530" w:rsidRDefault="00525530" w:rsidP="00166AC8">
            <w:pPr>
              <w:pStyle w:val="Heading1"/>
              <w:spacing w:before="40"/>
              <w:outlineLvl w:val="0"/>
              <w:rPr>
                <w:rFonts w:asciiTheme="minorHAnsi" w:hAnsiTheme="minorHAnsi" w:cstheme="minorHAnsi"/>
                <w:b/>
                <w:sz w:val="24"/>
                <w:szCs w:val="24"/>
              </w:rPr>
            </w:pPr>
            <w:r w:rsidRPr="00525530">
              <w:rPr>
                <w:rFonts w:asciiTheme="minorHAnsi" w:hAnsiTheme="minorHAnsi" w:cstheme="minorHAnsi"/>
                <w:b/>
                <w:color w:val="auto"/>
                <w:sz w:val="24"/>
                <w:szCs w:val="24"/>
              </w:rPr>
              <w:t>ENGLISH/CREDIT ESL PLACEMENT RECOMMENDATIONS</w:t>
            </w:r>
          </w:p>
        </w:tc>
        <w:tc>
          <w:tcPr>
            <w:tcW w:w="1350" w:type="dxa"/>
            <w:vAlign w:val="bottom"/>
          </w:tcPr>
          <w:p w:rsidR="00236380" w:rsidRPr="001A72F2" w:rsidRDefault="00236380" w:rsidP="00236380">
            <w:pPr>
              <w:jc w:val="center"/>
              <w:rPr>
                <w:rFonts w:ascii="Calibri" w:hAnsi="Calibri" w:cs="Calibri"/>
                <w:b/>
                <w:bCs/>
                <w:color w:val="000000"/>
                <w:sz w:val="24"/>
                <w:szCs w:val="24"/>
              </w:rPr>
            </w:pPr>
            <w:r w:rsidRPr="001A72F2">
              <w:rPr>
                <w:rFonts w:ascii="Calibri" w:hAnsi="Calibri" w:cs="Calibri"/>
                <w:b/>
                <w:bCs/>
                <w:color w:val="000000"/>
                <w:sz w:val="24"/>
                <w:szCs w:val="24"/>
              </w:rPr>
              <w:t>Count</w:t>
            </w:r>
          </w:p>
        </w:tc>
        <w:tc>
          <w:tcPr>
            <w:tcW w:w="1440" w:type="dxa"/>
            <w:vAlign w:val="bottom"/>
          </w:tcPr>
          <w:p w:rsidR="00236380" w:rsidRPr="001A72F2" w:rsidRDefault="00236380" w:rsidP="00236380">
            <w:pPr>
              <w:jc w:val="center"/>
              <w:rPr>
                <w:rFonts w:ascii="Calibri" w:hAnsi="Calibri" w:cs="Calibri"/>
                <w:b/>
                <w:bCs/>
                <w:color w:val="000000"/>
                <w:sz w:val="24"/>
                <w:szCs w:val="24"/>
              </w:rPr>
            </w:pPr>
            <w:r w:rsidRPr="001A72F2">
              <w:rPr>
                <w:rFonts w:ascii="Calibri" w:hAnsi="Calibri" w:cs="Calibri"/>
                <w:b/>
                <w:bCs/>
                <w:color w:val="000000"/>
                <w:sz w:val="24"/>
                <w:szCs w:val="24"/>
              </w:rPr>
              <w:t>Percent</w:t>
            </w:r>
          </w:p>
        </w:tc>
      </w:tr>
      <w:tr w:rsidR="00236380" w:rsidRPr="001A72F2" w:rsidTr="00525530">
        <w:tc>
          <w:tcPr>
            <w:tcW w:w="5845" w:type="dxa"/>
            <w:vAlign w:val="bottom"/>
          </w:tcPr>
          <w:p w:rsidR="00236380" w:rsidRPr="001A72F2" w:rsidRDefault="00236380" w:rsidP="00525530">
            <w:pPr>
              <w:ind w:firstLine="161"/>
              <w:rPr>
                <w:rFonts w:ascii="Calibri" w:hAnsi="Calibri" w:cs="Calibri"/>
                <w:color w:val="000000"/>
                <w:sz w:val="24"/>
                <w:szCs w:val="24"/>
              </w:rPr>
            </w:pPr>
            <w:r w:rsidRPr="001A72F2">
              <w:rPr>
                <w:rFonts w:ascii="Calibri" w:hAnsi="Calibri" w:cs="Calibri"/>
                <w:color w:val="000000"/>
                <w:sz w:val="24"/>
                <w:szCs w:val="24"/>
              </w:rPr>
              <w:t>1-ENGL1A (Transfer level)</w:t>
            </w:r>
          </w:p>
        </w:tc>
        <w:tc>
          <w:tcPr>
            <w:tcW w:w="135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35409</w:t>
            </w:r>
          </w:p>
        </w:tc>
        <w:tc>
          <w:tcPr>
            <w:tcW w:w="144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68.6%</w:t>
            </w:r>
          </w:p>
        </w:tc>
      </w:tr>
      <w:tr w:rsidR="00236380" w:rsidRPr="001A72F2" w:rsidTr="00525530">
        <w:tc>
          <w:tcPr>
            <w:tcW w:w="5845" w:type="dxa"/>
            <w:vAlign w:val="bottom"/>
          </w:tcPr>
          <w:p w:rsidR="00236380" w:rsidRPr="001A72F2" w:rsidRDefault="00236380" w:rsidP="00525530">
            <w:pPr>
              <w:ind w:firstLine="161"/>
              <w:rPr>
                <w:rFonts w:ascii="Calibri" w:hAnsi="Calibri" w:cs="Calibri"/>
                <w:color w:val="000000"/>
                <w:sz w:val="24"/>
                <w:szCs w:val="24"/>
              </w:rPr>
            </w:pPr>
            <w:r w:rsidRPr="001A72F2">
              <w:rPr>
                <w:rFonts w:ascii="Calibri" w:hAnsi="Calibri" w:cs="Calibri"/>
                <w:color w:val="000000"/>
                <w:sz w:val="24"/>
                <w:szCs w:val="24"/>
              </w:rPr>
              <w:t>2-ENGL1A with support recommended (Transfer Level)</w:t>
            </w:r>
          </w:p>
        </w:tc>
        <w:tc>
          <w:tcPr>
            <w:tcW w:w="135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10035</w:t>
            </w:r>
          </w:p>
        </w:tc>
        <w:tc>
          <w:tcPr>
            <w:tcW w:w="144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19.4%</w:t>
            </w:r>
          </w:p>
        </w:tc>
      </w:tr>
      <w:tr w:rsidR="00236380" w:rsidRPr="001A72F2" w:rsidTr="00525530">
        <w:tc>
          <w:tcPr>
            <w:tcW w:w="5845" w:type="dxa"/>
            <w:vAlign w:val="bottom"/>
          </w:tcPr>
          <w:p w:rsidR="00236380" w:rsidRPr="001A72F2" w:rsidRDefault="00236380" w:rsidP="00525530">
            <w:pPr>
              <w:ind w:firstLine="161"/>
              <w:rPr>
                <w:rFonts w:ascii="Calibri" w:hAnsi="Calibri" w:cs="Calibri"/>
                <w:color w:val="000000"/>
                <w:sz w:val="24"/>
                <w:szCs w:val="24"/>
              </w:rPr>
            </w:pPr>
            <w:r w:rsidRPr="001A72F2">
              <w:rPr>
                <w:rFonts w:ascii="Calibri" w:hAnsi="Calibri" w:cs="Calibri"/>
                <w:color w:val="000000"/>
                <w:sz w:val="24"/>
                <w:szCs w:val="24"/>
              </w:rPr>
              <w:t>AMLA90 (Credit ESL, 1 level below transfer)</w:t>
            </w:r>
          </w:p>
        </w:tc>
        <w:tc>
          <w:tcPr>
            <w:tcW w:w="135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62</w:t>
            </w:r>
          </w:p>
        </w:tc>
        <w:tc>
          <w:tcPr>
            <w:tcW w:w="144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0.1%</w:t>
            </w:r>
          </w:p>
        </w:tc>
      </w:tr>
      <w:tr w:rsidR="00236380" w:rsidRPr="001A72F2" w:rsidTr="00525530">
        <w:tc>
          <w:tcPr>
            <w:tcW w:w="5845" w:type="dxa"/>
            <w:vAlign w:val="bottom"/>
          </w:tcPr>
          <w:p w:rsidR="00236380" w:rsidRPr="001A72F2" w:rsidRDefault="00236380" w:rsidP="00525530">
            <w:pPr>
              <w:ind w:firstLine="161"/>
              <w:rPr>
                <w:rFonts w:ascii="Calibri" w:hAnsi="Calibri" w:cs="Calibri"/>
                <w:color w:val="000000"/>
                <w:sz w:val="24"/>
                <w:szCs w:val="24"/>
              </w:rPr>
            </w:pPr>
            <w:r w:rsidRPr="001A72F2">
              <w:rPr>
                <w:rFonts w:ascii="Calibri" w:hAnsi="Calibri" w:cs="Calibri"/>
                <w:color w:val="000000"/>
                <w:sz w:val="24"/>
                <w:szCs w:val="24"/>
              </w:rPr>
              <w:t>AMLA80 (Credit ESL, 2 level below transfer)</w:t>
            </w:r>
          </w:p>
        </w:tc>
        <w:tc>
          <w:tcPr>
            <w:tcW w:w="135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85</w:t>
            </w:r>
          </w:p>
        </w:tc>
        <w:tc>
          <w:tcPr>
            <w:tcW w:w="144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0.2%</w:t>
            </w:r>
          </w:p>
        </w:tc>
      </w:tr>
      <w:tr w:rsidR="00236380" w:rsidRPr="001A72F2" w:rsidTr="00525530">
        <w:tc>
          <w:tcPr>
            <w:tcW w:w="5845" w:type="dxa"/>
            <w:vAlign w:val="bottom"/>
          </w:tcPr>
          <w:p w:rsidR="00236380" w:rsidRPr="001A72F2" w:rsidRDefault="00236380" w:rsidP="00525530">
            <w:pPr>
              <w:ind w:firstLine="161"/>
              <w:rPr>
                <w:rFonts w:ascii="Calibri" w:hAnsi="Calibri" w:cs="Calibri"/>
                <w:color w:val="000000"/>
                <w:sz w:val="24"/>
                <w:szCs w:val="24"/>
              </w:rPr>
            </w:pPr>
            <w:r w:rsidRPr="001A72F2">
              <w:rPr>
                <w:rFonts w:ascii="Calibri" w:hAnsi="Calibri" w:cs="Calibri"/>
                <w:color w:val="000000"/>
                <w:sz w:val="24"/>
                <w:szCs w:val="24"/>
              </w:rPr>
              <w:t>AMLA70 (Credit ESL, 3 level below transfer)</w:t>
            </w:r>
          </w:p>
        </w:tc>
        <w:tc>
          <w:tcPr>
            <w:tcW w:w="135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27</w:t>
            </w:r>
          </w:p>
        </w:tc>
        <w:tc>
          <w:tcPr>
            <w:tcW w:w="144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0.1%</w:t>
            </w:r>
          </w:p>
        </w:tc>
      </w:tr>
      <w:tr w:rsidR="00236380" w:rsidRPr="001A72F2" w:rsidTr="00525530">
        <w:tc>
          <w:tcPr>
            <w:tcW w:w="5845" w:type="dxa"/>
            <w:vAlign w:val="bottom"/>
          </w:tcPr>
          <w:p w:rsidR="00236380" w:rsidRPr="001A72F2" w:rsidRDefault="00236380" w:rsidP="00525530">
            <w:pPr>
              <w:ind w:firstLine="161"/>
              <w:rPr>
                <w:rFonts w:ascii="Calibri" w:hAnsi="Calibri" w:cs="Calibri"/>
                <w:color w:val="000000"/>
                <w:sz w:val="24"/>
                <w:szCs w:val="24"/>
              </w:rPr>
            </w:pPr>
            <w:r w:rsidRPr="001A72F2">
              <w:rPr>
                <w:rFonts w:ascii="Calibri" w:hAnsi="Calibri" w:cs="Calibri"/>
                <w:color w:val="000000"/>
                <w:sz w:val="24"/>
                <w:szCs w:val="24"/>
              </w:rPr>
              <w:t>SEE AMLA DEPT</w:t>
            </w:r>
          </w:p>
        </w:tc>
        <w:tc>
          <w:tcPr>
            <w:tcW w:w="135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781</w:t>
            </w:r>
          </w:p>
        </w:tc>
        <w:tc>
          <w:tcPr>
            <w:tcW w:w="144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1.5%</w:t>
            </w:r>
          </w:p>
        </w:tc>
      </w:tr>
      <w:tr w:rsidR="00236380" w:rsidRPr="001A72F2" w:rsidTr="00525530">
        <w:tc>
          <w:tcPr>
            <w:tcW w:w="5845" w:type="dxa"/>
            <w:vAlign w:val="bottom"/>
          </w:tcPr>
          <w:p w:rsidR="00236380" w:rsidRPr="001A72F2" w:rsidRDefault="00236380" w:rsidP="00525530">
            <w:pPr>
              <w:ind w:firstLine="161"/>
              <w:rPr>
                <w:rFonts w:ascii="Calibri" w:hAnsi="Calibri" w:cs="Calibri"/>
                <w:color w:val="000000"/>
                <w:sz w:val="24"/>
                <w:szCs w:val="24"/>
              </w:rPr>
            </w:pPr>
            <w:r w:rsidRPr="001A72F2">
              <w:rPr>
                <w:rFonts w:ascii="Calibri" w:hAnsi="Calibri" w:cs="Calibri"/>
                <w:color w:val="000000"/>
                <w:sz w:val="24"/>
                <w:szCs w:val="24"/>
              </w:rPr>
              <w:t>See Counselor</w:t>
            </w:r>
          </w:p>
        </w:tc>
        <w:tc>
          <w:tcPr>
            <w:tcW w:w="135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2927</w:t>
            </w:r>
          </w:p>
        </w:tc>
        <w:tc>
          <w:tcPr>
            <w:tcW w:w="144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5.7%</w:t>
            </w:r>
          </w:p>
        </w:tc>
      </w:tr>
      <w:tr w:rsidR="00236380" w:rsidRPr="001A72F2" w:rsidTr="00525530">
        <w:tc>
          <w:tcPr>
            <w:tcW w:w="5845" w:type="dxa"/>
            <w:vAlign w:val="bottom"/>
          </w:tcPr>
          <w:p w:rsidR="00236380" w:rsidRPr="001A72F2" w:rsidRDefault="00236380" w:rsidP="00525530">
            <w:pPr>
              <w:ind w:firstLine="161"/>
              <w:rPr>
                <w:rFonts w:ascii="Calibri" w:hAnsi="Calibri" w:cs="Calibri"/>
                <w:color w:val="000000"/>
                <w:sz w:val="24"/>
                <w:szCs w:val="24"/>
              </w:rPr>
            </w:pPr>
            <w:r w:rsidRPr="001A72F2">
              <w:rPr>
                <w:rFonts w:ascii="Calibri" w:hAnsi="Calibri" w:cs="Calibri"/>
                <w:color w:val="000000"/>
                <w:sz w:val="24"/>
                <w:szCs w:val="24"/>
              </w:rPr>
              <w:t>Take Transcript to A&amp;R for Evaluation</w:t>
            </w:r>
          </w:p>
        </w:tc>
        <w:tc>
          <w:tcPr>
            <w:tcW w:w="135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2290</w:t>
            </w:r>
          </w:p>
        </w:tc>
        <w:tc>
          <w:tcPr>
            <w:tcW w:w="1440" w:type="dxa"/>
            <w:vAlign w:val="bottom"/>
          </w:tcPr>
          <w:p w:rsidR="00236380" w:rsidRPr="001A72F2" w:rsidRDefault="00236380" w:rsidP="00236380">
            <w:pPr>
              <w:jc w:val="right"/>
              <w:rPr>
                <w:rFonts w:ascii="Calibri" w:hAnsi="Calibri" w:cs="Calibri"/>
                <w:color w:val="000000"/>
                <w:sz w:val="24"/>
                <w:szCs w:val="24"/>
              </w:rPr>
            </w:pPr>
            <w:r w:rsidRPr="001A72F2">
              <w:rPr>
                <w:rFonts w:ascii="Calibri" w:hAnsi="Calibri" w:cs="Calibri"/>
                <w:color w:val="000000"/>
                <w:sz w:val="24"/>
                <w:szCs w:val="24"/>
              </w:rPr>
              <w:t>4.4%</w:t>
            </w:r>
          </w:p>
        </w:tc>
      </w:tr>
      <w:tr w:rsidR="00236380" w:rsidRPr="001A72F2" w:rsidTr="00525530">
        <w:tc>
          <w:tcPr>
            <w:tcW w:w="5845" w:type="dxa"/>
            <w:vAlign w:val="bottom"/>
          </w:tcPr>
          <w:p w:rsidR="00236380" w:rsidRPr="001A72F2" w:rsidRDefault="00236380" w:rsidP="00236380">
            <w:pPr>
              <w:rPr>
                <w:rFonts w:ascii="Calibri" w:hAnsi="Calibri" w:cs="Calibri"/>
                <w:b/>
                <w:bCs/>
                <w:color w:val="000000"/>
                <w:sz w:val="24"/>
                <w:szCs w:val="24"/>
              </w:rPr>
            </w:pPr>
            <w:r w:rsidRPr="001A72F2">
              <w:rPr>
                <w:rFonts w:ascii="Calibri" w:hAnsi="Calibri" w:cs="Calibri"/>
                <w:b/>
                <w:bCs/>
                <w:color w:val="000000"/>
                <w:sz w:val="24"/>
                <w:szCs w:val="24"/>
              </w:rPr>
              <w:t>Grand Total</w:t>
            </w:r>
          </w:p>
        </w:tc>
        <w:tc>
          <w:tcPr>
            <w:tcW w:w="1350" w:type="dxa"/>
            <w:vAlign w:val="bottom"/>
          </w:tcPr>
          <w:p w:rsidR="00236380" w:rsidRPr="001A72F2" w:rsidRDefault="00236380" w:rsidP="00236380">
            <w:pPr>
              <w:jc w:val="right"/>
              <w:rPr>
                <w:rFonts w:ascii="Calibri" w:hAnsi="Calibri" w:cs="Calibri"/>
                <w:b/>
                <w:bCs/>
                <w:color w:val="000000"/>
                <w:sz w:val="24"/>
                <w:szCs w:val="24"/>
              </w:rPr>
            </w:pPr>
            <w:r w:rsidRPr="001A72F2">
              <w:rPr>
                <w:rFonts w:ascii="Calibri" w:hAnsi="Calibri" w:cs="Calibri"/>
                <w:b/>
                <w:bCs/>
                <w:color w:val="000000"/>
                <w:sz w:val="24"/>
                <w:szCs w:val="24"/>
              </w:rPr>
              <w:t>51616</w:t>
            </w:r>
          </w:p>
        </w:tc>
        <w:tc>
          <w:tcPr>
            <w:tcW w:w="1440" w:type="dxa"/>
            <w:vAlign w:val="bottom"/>
          </w:tcPr>
          <w:p w:rsidR="00236380" w:rsidRPr="001A72F2" w:rsidRDefault="00236380" w:rsidP="00236380">
            <w:pPr>
              <w:jc w:val="right"/>
              <w:rPr>
                <w:rFonts w:ascii="Calibri" w:hAnsi="Calibri" w:cs="Calibri"/>
                <w:b/>
                <w:bCs/>
                <w:color w:val="000000"/>
                <w:sz w:val="24"/>
                <w:szCs w:val="24"/>
              </w:rPr>
            </w:pPr>
            <w:r w:rsidRPr="001A72F2">
              <w:rPr>
                <w:rFonts w:ascii="Calibri" w:hAnsi="Calibri" w:cs="Calibri"/>
                <w:b/>
                <w:bCs/>
                <w:color w:val="000000"/>
                <w:sz w:val="24"/>
                <w:szCs w:val="24"/>
              </w:rPr>
              <w:t>100.0%</w:t>
            </w:r>
          </w:p>
        </w:tc>
      </w:tr>
    </w:tbl>
    <w:p w:rsidR="001A0074" w:rsidRDefault="001A0074" w:rsidP="00C968F9">
      <w:pPr>
        <w:spacing w:after="0"/>
        <w:rPr>
          <w:sz w:val="16"/>
          <w:szCs w:val="16"/>
        </w:rPr>
      </w:pPr>
    </w:p>
    <w:p w:rsidR="00525530" w:rsidRPr="00525530" w:rsidRDefault="00525530" w:rsidP="00525530">
      <w:pPr>
        <w:pStyle w:val="Heading2"/>
        <w:rPr>
          <w:rFonts w:asciiTheme="minorHAnsi" w:eastAsia="Times New Roman" w:hAnsiTheme="minorHAnsi" w:cstheme="minorHAnsi"/>
          <w:sz w:val="24"/>
          <w:szCs w:val="24"/>
        </w:rPr>
      </w:pPr>
      <w:r w:rsidRPr="00166AC8">
        <w:rPr>
          <w:rFonts w:asciiTheme="minorHAnsi" w:eastAsia="Times New Roman" w:hAnsiTheme="minorHAnsi" w:cstheme="minorHAnsi"/>
          <w:sz w:val="24"/>
          <w:szCs w:val="24"/>
        </w:rPr>
        <w:t>T</w:t>
      </w:r>
      <w:r w:rsidRPr="00525530">
        <w:rPr>
          <w:rFonts w:asciiTheme="minorHAnsi" w:eastAsia="Times New Roman" w:hAnsiTheme="minorHAnsi" w:cstheme="minorHAnsi"/>
          <w:sz w:val="24"/>
          <w:szCs w:val="24"/>
        </w:rPr>
        <w:t>ABL</w:t>
      </w:r>
      <w:r w:rsidR="00A96361">
        <w:rPr>
          <w:rFonts w:asciiTheme="minorHAnsi" w:eastAsia="Times New Roman" w:hAnsiTheme="minorHAnsi" w:cstheme="minorHAnsi"/>
          <w:sz w:val="24"/>
          <w:szCs w:val="24"/>
        </w:rPr>
        <w:t>E</w:t>
      </w:r>
      <w:r w:rsidRPr="00525530">
        <w:rPr>
          <w:rFonts w:asciiTheme="minorHAnsi" w:eastAsia="Times New Roman" w:hAnsiTheme="minorHAnsi" w:cstheme="minorHAnsi"/>
          <w:sz w:val="24"/>
          <w:szCs w:val="24"/>
        </w:rPr>
        <w:t>2. MATH PLACEMENT</w:t>
      </w:r>
    </w:p>
    <w:tbl>
      <w:tblPr>
        <w:tblW w:w="8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th Placement Distribution by Assessment Questionnaire"/>
        <w:tblDescription w:val="This table contains the count and percentage of students being placed into each of the five transfer level recommendations generated by the Assessment Questionnaire  in math, based on students' self-reported high school transcript information."/>
      </w:tblPr>
      <w:tblGrid>
        <w:gridCol w:w="4840"/>
        <w:gridCol w:w="1545"/>
        <w:gridCol w:w="1620"/>
      </w:tblGrid>
      <w:tr w:rsidR="00525530" w:rsidRPr="009E62C9" w:rsidTr="00EC5ADF">
        <w:trPr>
          <w:trHeight w:val="290"/>
          <w:tblHeader/>
        </w:trPr>
        <w:tc>
          <w:tcPr>
            <w:tcW w:w="4840" w:type="dxa"/>
            <w:shd w:val="clear" w:color="auto" w:fill="auto"/>
            <w:noWrap/>
            <w:vAlign w:val="bottom"/>
            <w:hideMark/>
          </w:tcPr>
          <w:p w:rsidR="009E62C9" w:rsidRPr="00166AC8" w:rsidRDefault="00525530" w:rsidP="001A72F2">
            <w:pPr>
              <w:pStyle w:val="Heading2"/>
              <w:rPr>
                <w:rFonts w:asciiTheme="minorHAnsi" w:eastAsia="Times New Roman" w:hAnsiTheme="minorHAnsi" w:cstheme="minorHAnsi"/>
                <w:sz w:val="24"/>
                <w:szCs w:val="24"/>
              </w:rPr>
            </w:pPr>
            <w:r>
              <w:rPr>
                <w:rFonts w:asciiTheme="minorHAnsi" w:hAnsiTheme="minorHAnsi" w:cstheme="minorHAnsi"/>
                <w:b/>
                <w:color w:val="auto"/>
                <w:sz w:val="24"/>
                <w:szCs w:val="24"/>
              </w:rPr>
              <w:t>MATH PLACEMENT</w:t>
            </w:r>
            <w:r w:rsidRPr="00525530">
              <w:rPr>
                <w:rFonts w:asciiTheme="minorHAnsi" w:hAnsiTheme="minorHAnsi" w:cstheme="minorHAnsi"/>
                <w:b/>
                <w:color w:val="auto"/>
                <w:sz w:val="24"/>
                <w:szCs w:val="24"/>
              </w:rPr>
              <w:t xml:space="preserve"> RECOMMENDATIONS</w:t>
            </w:r>
          </w:p>
        </w:tc>
        <w:tc>
          <w:tcPr>
            <w:tcW w:w="1545" w:type="dxa"/>
            <w:shd w:val="clear" w:color="auto" w:fill="auto"/>
            <w:noWrap/>
            <w:vAlign w:val="bottom"/>
            <w:hideMark/>
          </w:tcPr>
          <w:p w:rsidR="009E62C9" w:rsidRPr="009E62C9" w:rsidRDefault="009E62C9" w:rsidP="009E62C9">
            <w:pPr>
              <w:spacing w:after="0" w:line="240" w:lineRule="auto"/>
              <w:jc w:val="center"/>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Count</w:t>
            </w:r>
          </w:p>
        </w:tc>
        <w:tc>
          <w:tcPr>
            <w:tcW w:w="1620" w:type="dxa"/>
            <w:shd w:val="clear" w:color="auto" w:fill="auto"/>
            <w:noWrap/>
            <w:vAlign w:val="bottom"/>
            <w:hideMark/>
          </w:tcPr>
          <w:p w:rsidR="009E62C9" w:rsidRPr="009E62C9" w:rsidRDefault="009E62C9" w:rsidP="009E62C9">
            <w:pPr>
              <w:spacing w:after="0" w:line="240" w:lineRule="auto"/>
              <w:jc w:val="center"/>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Percent</w:t>
            </w:r>
          </w:p>
        </w:tc>
      </w:tr>
      <w:tr w:rsidR="009E62C9" w:rsidRPr="009E62C9" w:rsidTr="00525530">
        <w:trPr>
          <w:trHeight w:val="290"/>
        </w:trPr>
        <w:tc>
          <w:tcPr>
            <w:tcW w:w="4840" w:type="dxa"/>
            <w:shd w:val="clear" w:color="auto" w:fill="auto"/>
            <w:noWrap/>
            <w:vAlign w:val="bottom"/>
            <w:hideMark/>
          </w:tcPr>
          <w:p w:rsidR="009E62C9" w:rsidRPr="009E62C9" w:rsidRDefault="009E62C9" w:rsidP="009E62C9">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Default - Transfer level 150/130/120/110/110S/100</w:t>
            </w:r>
          </w:p>
        </w:tc>
        <w:tc>
          <w:tcPr>
            <w:tcW w:w="1545"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37466</w:t>
            </w:r>
          </w:p>
        </w:tc>
        <w:tc>
          <w:tcPr>
            <w:tcW w:w="1620"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73.4%</w:t>
            </w:r>
          </w:p>
        </w:tc>
      </w:tr>
      <w:tr w:rsidR="009E62C9" w:rsidRPr="009E62C9" w:rsidTr="00525530">
        <w:trPr>
          <w:trHeight w:val="290"/>
        </w:trPr>
        <w:tc>
          <w:tcPr>
            <w:tcW w:w="4840" w:type="dxa"/>
            <w:shd w:val="clear" w:color="auto" w:fill="auto"/>
            <w:noWrap/>
            <w:vAlign w:val="bottom"/>
            <w:hideMark/>
          </w:tcPr>
          <w:p w:rsidR="009E62C9" w:rsidRPr="009E62C9" w:rsidRDefault="009E62C9" w:rsidP="009E62C9">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MATH 140 + default</w:t>
            </w:r>
          </w:p>
        </w:tc>
        <w:tc>
          <w:tcPr>
            <w:tcW w:w="1545"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1560</w:t>
            </w:r>
          </w:p>
        </w:tc>
        <w:tc>
          <w:tcPr>
            <w:tcW w:w="1620"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3.1%</w:t>
            </w:r>
          </w:p>
        </w:tc>
      </w:tr>
      <w:tr w:rsidR="009E62C9" w:rsidRPr="009E62C9" w:rsidTr="00525530">
        <w:trPr>
          <w:trHeight w:val="290"/>
        </w:trPr>
        <w:tc>
          <w:tcPr>
            <w:tcW w:w="4840" w:type="dxa"/>
            <w:shd w:val="clear" w:color="auto" w:fill="auto"/>
            <w:noWrap/>
            <w:vAlign w:val="bottom"/>
            <w:hideMark/>
          </w:tcPr>
          <w:p w:rsidR="009E62C9" w:rsidRPr="009E62C9" w:rsidRDefault="009E62C9" w:rsidP="009E62C9">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MATH 160 + default</w:t>
            </w:r>
          </w:p>
        </w:tc>
        <w:tc>
          <w:tcPr>
            <w:tcW w:w="1545"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1370</w:t>
            </w:r>
          </w:p>
        </w:tc>
        <w:tc>
          <w:tcPr>
            <w:tcW w:w="1620"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2.7%</w:t>
            </w:r>
          </w:p>
        </w:tc>
      </w:tr>
      <w:tr w:rsidR="009E62C9" w:rsidRPr="009E62C9" w:rsidTr="00525530">
        <w:trPr>
          <w:trHeight w:val="290"/>
        </w:trPr>
        <w:tc>
          <w:tcPr>
            <w:tcW w:w="4840" w:type="dxa"/>
            <w:shd w:val="clear" w:color="auto" w:fill="auto"/>
            <w:noWrap/>
            <w:vAlign w:val="bottom"/>
            <w:hideMark/>
          </w:tcPr>
          <w:p w:rsidR="009E62C9" w:rsidRPr="009E62C9" w:rsidRDefault="009E62C9" w:rsidP="009E62C9">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MATH 160/140 + default</w:t>
            </w:r>
          </w:p>
        </w:tc>
        <w:tc>
          <w:tcPr>
            <w:tcW w:w="1545"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190</w:t>
            </w:r>
          </w:p>
        </w:tc>
        <w:tc>
          <w:tcPr>
            <w:tcW w:w="1620"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0.4%</w:t>
            </w:r>
          </w:p>
        </w:tc>
      </w:tr>
      <w:tr w:rsidR="009E62C9" w:rsidRPr="009E62C9" w:rsidTr="00525530">
        <w:trPr>
          <w:trHeight w:val="290"/>
        </w:trPr>
        <w:tc>
          <w:tcPr>
            <w:tcW w:w="4840" w:type="dxa"/>
            <w:shd w:val="clear" w:color="auto" w:fill="auto"/>
            <w:noWrap/>
            <w:vAlign w:val="bottom"/>
            <w:hideMark/>
          </w:tcPr>
          <w:p w:rsidR="009E62C9" w:rsidRPr="009E62C9" w:rsidRDefault="009E62C9" w:rsidP="009E62C9">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MATH 180/160/140 + default</w:t>
            </w:r>
          </w:p>
        </w:tc>
        <w:tc>
          <w:tcPr>
            <w:tcW w:w="1545"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10439</w:t>
            </w:r>
          </w:p>
        </w:tc>
        <w:tc>
          <w:tcPr>
            <w:tcW w:w="1620"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20.5%</w:t>
            </w:r>
          </w:p>
        </w:tc>
      </w:tr>
      <w:tr w:rsidR="00525530" w:rsidRPr="009E62C9" w:rsidTr="00525530">
        <w:trPr>
          <w:trHeight w:val="290"/>
        </w:trPr>
        <w:tc>
          <w:tcPr>
            <w:tcW w:w="4840" w:type="dxa"/>
            <w:shd w:val="clear" w:color="auto" w:fill="auto"/>
            <w:noWrap/>
            <w:vAlign w:val="bottom"/>
            <w:hideMark/>
          </w:tcPr>
          <w:p w:rsidR="009E62C9" w:rsidRPr="009E62C9" w:rsidRDefault="009E62C9" w:rsidP="009E62C9">
            <w:pPr>
              <w:spacing w:after="0" w:line="240" w:lineRule="auto"/>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Grand Total</w:t>
            </w:r>
          </w:p>
        </w:tc>
        <w:tc>
          <w:tcPr>
            <w:tcW w:w="1545"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51025</w:t>
            </w:r>
          </w:p>
        </w:tc>
        <w:tc>
          <w:tcPr>
            <w:tcW w:w="1620" w:type="dxa"/>
            <w:shd w:val="clear" w:color="auto" w:fill="auto"/>
            <w:noWrap/>
            <w:vAlign w:val="bottom"/>
            <w:hideMark/>
          </w:tcPr>
          <w:p w:rsidR="009E62C9" w:rsidRPr="009E62C9" w:rsidRDefault="009E62C9" w:rsidP="009E62C9">
            <w:pPr>
              <w:spacing w:after="0" w:line="240" w:lineRule="auto"/>
              <w:jc w:val="right"/>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100.0%</w:t>
            </w:r>
          </w:p>
        </w:tc>
      </w:tr>
    </w:tbl>
    <w:p w:rsidR="001A0074" w:rsidRDefault="001A0074" w:rsidP="00C968F9">
      <w:pPr>
        <w:spacing w:after="0"/>
        <w:rPr>
          <w:sz w:val="16"/>
          <w:szCs w:val="16"/>
        </w:rPr>
      </w:pPr>
    </w:p>
    <w:p w:rsidR="00525530" w:rsidRPr="00525530" w:rsidRDefault="00525530" w:rsidP="00525530">
      <w:pPr>
        <w:pStyle w:val="Heading2"/>
        <w:contextualSpacing/>
        <w:rPr>
          <w:sz w:val="24"/>
          <w:szCs w:val="24"/>
        </w:rPr>
      </w:pPr>
      <w:r w:rsidRPr="00525530">
        <w:rPr>
          <w:rFonts w:asciiTheme="minorHAnsi" w:eastAsia="Times New Roman" w:hAnsiTheme="minorHAnsi" w:cstheme="minorHAnsi"/>
          <w:sz w:val="24"/>
          <w:szCs w:val="24"/>
        </w:rPr>
        <w:t>TABLE3. READING</w:t>
      </w:r>
      <w:r w:rsidR="00EC5ADF">
        <w:rPr>
          <w:rFonts w:asciiTheme="minorHAnsi" w:eastAsia="Times New Roman" w:hAnsiTheme="minorHAnsi" w:cstheme="minorHAnsi"/>
          <w:sz w:val="24"/>
          <w:szCs w:val="24"/>
        </w:rPr>
        <w:t>/CREDIT ESL</w:t>
      </w:r>
      <w:r w:rsidRPr="00525530">
        <w:rPr>
          <w:rFonts w:asciiTheme="minorHAnsi" w:eastAsia="Times New Roman" w:hAnsiTheme="minorHAnsi" w:cstheme="minorHAnsi"/>
          <w:sz w:val="24"/>
          <w:szCs w:val="24"/>
        </w:rPr>
        <w:t xml:space="preserve"> PLACEMENT</w:t>
      </w:r>
    </w:p>
    <w:tbl>
      <w:tblPr>
        <w:tblW w:w="8005" w:type="dxa"/>
        <w:tblLook w:val="04A0" w:firstRow="1" w:lastRow="0" w:firstColumn="1" w:lastColumn="0" w:noHBand="0" w:noVBand="1"/>
        <w:tblCaption w:val="General Reading/Credit ESL Reading Placement Distribution by Assessment Questionnaire"/>
        <w:tblDescription w:val="This table contains the count and percentage of students being placed into each of the seven recommendations generated by the Assessment Questionnaire  in reading or credit ESL reading, based on students' self-reported high school transcript information."/>
      </w:tblPr>
      <w:tblGrid>
        <w:gridCol w:w="4840"/>
        <w:gridCol w:w="1545"/>
        <w:gridCol w:w="1620"/>
      </w:tblGrid>
      <w:tr w:rsidR="00525530" w:rsidRPr="009E62C9" w:rsidTr="00EC5ADF">
        <w:trPr>
          <w:trHeight w:val="290"/>
          <w:tblHeader/>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530" w:rsidRPr="00166AC8" w:rsidRDefault="00525530" w:rsidP="00525530">
            <w:pPr>
              <w:pStyle w:val="Heading2"/>
              <w:rPr>
                <w:rFonts w:asciiTheme="minorHAnsi" w:eastAsia="Times New Roman" w:hAnsiTheme="minorHAnsi" w:cstheme="minorHAnsi"/>
                <w:sz w:val="24"/>
                <w:szCs w:val="24"/>
              </w:rPr>
            </w:pPr>
            <w:r>
              <w:rPr>
                <w:rFonts w:asciiTheme="minorHAnsi" w:hAnsiTheme="minorHAnsi" w:cstheme="minorHAnsi"/>
                <w:b/>
                <w:color w:val="auto"/>
                <w:sz w:val="24"/>
                <w:szCs w:val="24"/>
              </w:rPr>
              <w:t>READING PLACEMENT</w:t>
            </w:r>
            <w:r w:rsidRPr="00525530">
              <w:rPr>
                <w:rFonts w:asciiTheme="minorHAnsi" w:hAnsiTheme="minorHAnsi" w:cstheme="minorHAnsi"/>
                <w:b/>
                <w:color w:val="auto"/>
                <w:sz w:val="24"/>
                <w:szCs w:val="24"/>
              </w:rPr>
              <w:t xml:space="preserve"> RECOMMENDATIONS</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center"/>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Count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center"/>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Percent</w:t>
            </w:r>
          </w:p>
        </w:tc>
      </w:tr>
      <w:tr w:rsidR="00525530" w:rsidRPr="009E62C9" w:rsidTr="00525530">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READ 100</w:t>
            </w:r>
          </w:p>
        </w:tc>
        <w:tc>
          <w:tcPr>
            <w:tcW w:w="1545"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35249</w:t>
            </w:r>
          </w:p>
        </w:tc>
        <w:tc>
          <w:tcPr>
            <w:tcW w:w="1620"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68.3%</w:t>
            </w:r>
          </w:p>
        </w:tc>
      </w:tr>
      <w:tr w:rsidR="00525530" w:rsidRPr="009E62C9" w:rsidTr="00525530">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READ 90</w:t>
            </w:r>
          </w:p>
        </w:tc>
        <w:tc>
          <w:tcPr>
            <w:tcW w:w="1545"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9970</w:t>
            </w:r>
          </w:p>
        </w:tc>
        <w:tc>
          <w:tcPr>
            <w:tcW w:w="1620"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19.3%</w:t>
            </w:r>
          </w:p>
        </w:tc>
      </w:tr>
      <w:tr w:rsidR="00525530" w:rsidRPr="009E62C9" w:rsidTr="00525530">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AMLA 33R</w:t>
            </w:r>
          </w:p>
        </w:tc>
        <w:tc>
          <w:tcPr>
            <w:tcW w:w="1545"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291</w:t>
            </w:r>
          </w:p>
        </w:tc>
        <w:tc>
          <w:tcPr>
            <w:tcW w:w="1620"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0.6%</w:t>
            </w:r>
          </w:p>
        </w:tc>
      </w:tr>
      <w:tr w:rsidR="00525530" w:rsidRPr="009E62C9" w:rsidTr="00525530">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AMLA 32R</w:t>
            </w:r>
          </w:p>
        </w:tc>
        <w:tc>
          <w:tcPr>
            <w:tcW w:w="1545"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263</w:t>
            </w:r>
          </w:p>
        </w:tc>
        <w:tc>
          <w:tcPr>
            <w:tcW w:w="1620"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0.5%</w:t>
            </w:r>
          </w:p>
        </w:tc>
      </w:tr>
      <w:tr w:rsidR="00525530" w:rsidRPr="009E62C9" w:rsidTr="00525530">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AMLA 31R</w:t>
            </w:r>
          </w:p>
        </w:tc>
        <w:tc>
          <w:tcPr>
            <w:tcW w:w="1545"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67</w:t>
            </w:r>
          </w:p>
        </w:tc>
        <w:tc>
          <w:tcPr>
            <w:tcW w:w="1620"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0.1%</w:t>
            </w:r>
          </w:p>
        </w:tc>
      </w:tr>
      <w:tr w:rsidR="00525530" w:rsidRPr="009E62C9" w:rsidTr="00525530">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SEE AMLA DEPT</w:t>
            </w:r>
          </w:p>
        </w:tc>
        <w:tc>
          <w:tcPr>
            <w:tcW w:w="1545"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719</w:t>
            </w:r>
          </w:p>
        </w:tc>
        <w:tc>
          <w:tcPr>
            <w:tcW w:w="1620"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1.4%</w:t>
            </w:r>
          </w:p>
        </w:tc>
      </w:tr>
      <w:tr w:rsidR="00525530" w:rsidRPr="009E62C9" w:rsidTr="00525530">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rPr>
                <w:rFonts w:ascii="Calibri" w:eastAsia="Times New Roman" w:hAnsi="Calibri" w:cs="Calibri"/>
                <w:color w:val="000000"/>
                <w:sz w:val="24"/>
                <w:szCs w:val="24"/>
              </w:rPr>
            </w:pPr>
            <w:r w:rsidRPr="009E62C9">
              <w:rPr>
                <w:rFonts w:ascii="Calibri" w:eastAsia="Times New Roman" w:hAnsi="Calibri" w:cs="Calibri"/>
                <w:color w:val="000000"/>
                <w:sz w:val="24"/>
                <w:szCs w:val="24"/>
              </w:rPr>
              <w:t>See Counselor</w:t>
            </w:r>
          </w:p>
        </w:tc>
        <w:tc>
          <w:tcPr>
            <w:tcW w:w="1545"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5057</w:t>
            </w:r>
          </w:p>
        </w:tc>
        <w:tc>
          <w:tcPr>
            <w:tcW w:w="1620"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color w:val="000000"/>
                <w:sz w:val="24"/>
                <w:szCs w:val="24"/>
              </w:rPr>
            </w:pPr>
            <w:r w:rsidRPr="009E62C9">
              <w:rPr>
                <w:rFonts w:ascii="Calibri" w:eastAsia="Times New Roman" w:hAnsi="Calibri" w:cs="Calibri"/>
                <w:color w:val="000000"/>
                <w:sz w:val="24"/>
                <w:szCs w:val="24"/>
              </w:rPr>
              <w:t>9.8%</w:t>
            </w:r>
          </w:p>
        </w:tc>
      </w:tr>
      <w:tr w:rsidR="00525530" w:rsidRPr="009E62C9" w:rsidTr="00525530">
        <w:trPr>
          <w:trHeight w:val="290"/>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Grand Total</w:t>
            </w:r>
          </w:p>
        </w:tc>
        <w:tc>
          <w:tcPr>
            <w:tcW w:w="1545"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51616</w:t>
            </w:r>
          </w:p>
        </w:tc>
        <w:tc>
          <w:tcPr>
            <w:tcW w:w="1620" w:type="dxa"/>
            <w:tcBorders>
              <w:top w:val="nil"/>
              <w:left w:val="nil"/>
              <w:bottom w:val="single" w:sz="4" w:space="0" w:color="auto"/>
              <w:right w:val="single" w:sz="4" w:space="0" w:color="auto"/>
            </w:tcBorders>
            <w:shd w:val="clear" w:color="auto" w:fill="auto"/>
            <w:noWrap/>
            <w:vAlign w:val="bottom"/>
            <w:hideMark/>
          </w:tcPr>
          <w:p w:rsidR="00525530" w:rsidRPr="009E62C9" w:rsidRDefault="00525530" w:rsidP="00525530">
            <w:pPr>
              <w:spacing w:after="0" w:line="240" w:lineRule="auto"/>
              <w:jc w:val="right"/>
              <w:rPr>
                <w:rFonts w:ascii="Calibri" w:eastAsia="Times New Roman" w:hAnsi="Calibri" w:cs="Calibri"/>
                <w:b/>
                <w:bCs/>
                <w:color w:val="000000"/>
                <w:sz w:val="24"/>
                <w:szCs w:val="24"/>
              </w:rPr>
            </w:pPr>
            <w:r w:rsidRPr="009E62C9">
              <w:rPr>
                <w:rFonts w:ascii="Calibri" w:eastAsia="Times New Roman" w:hAnsi="Calibri" w:cs="Calibri"/>
                <w:b/>
                <w:bCs/>
                <w:color w:val="000000"/>
                <w:sz w:val="24"/>
                <w:szCs w:val="24"/>
              </w:rPr>
              <w:t>100.0%</w:t>
            </w:r>
          </w:p>
        </w:tc>
      </w:tr>
    </w:tbl>
    <w:p w:rsidR="009E62C9" w:rsidRPr="001A72F2" w:rsidRDefault="001E107D" w:rsidP="004C2C61">
      <w:pPr>
        <w:tabs>
          <w:tab w:val="left" w:pos="1367"/>
          <w:tab w:val="left" w:pos="3090"/>
        </w:tabs>
        <w:rPr>
          <w:sz w:val="24"/>
          <w:szCs w:val="24"/>
        </w:rPr>
      </w:pPr>
      <w:r>
        <w:rPr>
          <w:sz w:val="24"/>
          <w:szCs w:val="24"/>
        </w:rPr>
        <w:tab/>
      </w:r>
      <w:r w:rsidR="004C2C61">
        <w:rPr>
          <w:sz w:val="24"/>
          <w:szCs w:val="24"/>
        </w:rPr>
        <w:tab/>
      </w:r>
    </w:p>
    <w:sectPr w:rsidR="009E62C9" w:rsidRPr="001A72F2" w:rsidSect="00C968F9">
      <w:headerReference w:type="even" r:id="rId6"/>
      <w:headerReference w:type="default" r:id="rId7"/>
      <w:footerReference w:type="even" r:id="rId8"/>
      <w:footerReference w:type="default" r:id="rId9"/>
      <w:headerReference w:type="first" r:id="rId10"/>
      <w:footerReference w:type="first" r:id="rId11"/>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306" w:rsidRDefault="00767306" w:rsidP="00C968F9">
      <w:pPr>
        <w:spacing w:after="0" w:line="240" w:lineRule="auto"/>
      </w:pPr>
      <w:r>
        <w:separator/>
      </w:r>
    </w:p>
  </w:endnote>
  <w:endnote w:type="continuationSeparator" w:id="0">
    <w:p w:rsidR="00767306" w:rsidRDefault="00767306" w:rsidP="00C9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6D" w:rsidRDefault="00D60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F9" w:rsidRDefault="001E107D">
    <w:pPr>
      <w:pStyle w:val="Footer"/>
    </w:pPr>
    <w:bookmarkStart w:id="0" w:name="_GoBack"/>
    <w:r>
      <w:t>For questions, p</w:t>
    </w:r>
    <w:r w:rsidR="00417B65">
      <w:t xml:space="preserve">lease contact </w:t>
    </w:r>
    <w:r w:rsidR="004C2C61" w:rsidRPr="004C2C61">
      <w:t xml:space="preserve">the Research and Institutional Effectiveness (RIE) </w:t>
    </w:r>
    <w:r w:rsidR="004C2C61">
      <w:t>o</w:t>
    </w:r>
    <w:r w:rsidR="004C2C61" w:rsidRPr="004C2C61">
      <w:t>ffice</w:t>
    </w:r>
    <w:bookmarkEnd w:id="0"/>
  </w:p>
  <w:p w:rsidR="00C968F9" w:rsidRDefault="00C96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6D" w:rsidRDefault="00D60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306" w:rsidRDefault="00767306" w:rsidP="00C968F9">
      <w:pPr>
        <w:spacing w:after="0" w:line="240" w:lineRule="auto"/>
      </w:pPr>
      <w:r>
        <w:separator/>
      </w:r>
    </w:p>
  </w:footnote>
  <w:footnote w:type="continuationSeparator" w:id="0">
    <w:p w:rsidR="00767306" w:rsidRDefault="00767306" w:rsidP="00C96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6D" w:rsidRDefault="00D60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6D" w:rsidRDefault="00D60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6D" w:rsidRDefault="00D60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UhZogFUjX1HkcEPLC0m2iaB1fmxnQrlOmf4r+v8sWa9MNbWkh4/XUHW+KhO7wbqmQm5KoPFdVTE9jsYN6HqcbQ==" w:salt="VVG1++VYvTVySSTGHL5gf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26"/>
    <w:rsid w:val="000D56D8"/>
    <w:rsid w:val="00146B26"/>
    <w:rsid w:val="00166AC8"/>
    <w:rsid w:val="001A0074"/>
    <w:rsid w:val="001A72F2"/>
    <w:rsid w:val="001E107D"/>
    <w:rsid w:val="00236380"/>
    <w:rsid w:val="00296E14"/>
    <w:rsid w:val="00301902"/>
    <w:rsid w:val="00417B65"/>
    <w:rsid w:val="004A51B9"/>
    <w:rsid w:val="004C2C61"/>
    <w:rsid w:val="00525530"/>
    <w:rsid w:val="00525BC0"/>
    <w:rsid w:val="00767306"/>
    <w:rsid w:val="009E62C9"/>
    <w:rsid w:val="00A96361"/>
    <w:rsid w:val="00A97461"/>
    <w:rsid w:val="00C968F9"/>
    <w:rsid w:val="00D6006D"/>
    <w:rsid w:val="00D939BE"/>
    <w:rsid w:val="00EC5ADF"/>
    <w:rsid w:val="00F9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52DE"/>
  <w15:chartTrackingRefBased/>
  <w15:docId w15:val="{E88551C8-9562-4F8B-B55A-1F8ED191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72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7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72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62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2C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72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72F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A72F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166A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6AC8"/>
    <w:rPr>
      <w:rFonts w:eastAsiaTheme="minorEastAsia"/>
      <w:color w:val="5A5A5A" w:themeColor="text1" w:themeTint="A5"/>
      <w:spacing w:val="15"/>
    </w:rPr>
  </w:style>
  <w:style w:type="paragraph" w:styleId="Header">
    <w:name w:val="header"/>
    <w:basedOn w:val="Normal"/>
    <w:link w:val="HeaderChar"/>
    <w:uiPriority w:val="99"/>
    <w:unhideWhenUsed/>
    <w:rsid w:val="00C96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8F9"/>
  </w:style>
  <w:style w:type="paragraph" w:styleId="Footer">
    <w:name w:val="footer"/>
    <w:basedOn w:val="Normal"/>
    <w:link w:val="FooterChar"/>
    <w:uiPriority w:val="99"/>
    <w:unhideWhenUsed/>
    <w:rsid w:val="00C96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25668">
      <w:bodyDiv w:val="1"/>
      <w:marLeft w:val="0"/>
      <w:marRight w:val="0"/>
      <w:marTop w:val="0"/>
      <w:marBottom w:val="0"/>
      <w:divBdr>
        <w:top w:val="none" w:sz="0" w:space="0" w:color="auto"/>
        <w:left w:val="none" w:sz="0" w:space="0" w:color="auto"/>
        <w:bottom w:val="none" w:sz="0" w:space="0" w:color="auto"/>
        <w:right w:val="none" w:sz="0" w:space="0" w:color="auto"/>
      </w:divBdr>
    </w:div>
    <w:div w:id="20364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1401</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 Maria</dc:creator>
  <cp:keywords/>
  <dc:description/>
  <cp:lastModifiedBy>Martinez, Nicomedes</cp:lastModifiedBy>
  <cp:revision>4</cp:revision>
  <dcterms:created xsi:type="dcterms:W3CDTF">2021-04-19T18:41:00Z</dcterms:created>
  <dcterms:modified xsi:type="dcterms:W3CDTF">2021-04-19T19:04:00Z</dcterms:modified>
</cp:coreProperties>
</file>